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E145" w14:textId="77777777" w:rsidR="00EA16CA" w:rsidRDefault="00EA16CA" w:rsidP="00EA16CA">
      <w:pPr>
        <w:ind w:left="5040" w:firstLine="720"/>
        <w:jc w:val="center"/>
        <w:rPr>
          <w:sz w:val="24"/>
          <w:szCs w:val="24"/>
        </w:rPr>
      </w:pPr>
      <w:r>
        <w:rPr>
          <w:rFonts w:ascii="Montserrat-SemiBold" w:eastAsia="Montserrat-SemiBold" w:hAnsi="Montserrat-SemiBold" w:cs="Montserrat-SemiBold"/>
          <w:b/>
          <w:bCs/>
          <w:noProof/>
          <w:sz w:val="23"/>
          <w:szCs w:val="23"/>
          <w:lang w:eastAsia="en-GB"/>
        </w:rPr>
        <w:drawing>
          <wp:inline distT="0" distB="0" distL="0" distR="0" wp14:anchorId="5017E19E" wp14:editId="5017E19F">
            <wp:extent cx="2057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Star-logo-STRAP-COLOUR.jpg"/>
                    <pic:cNvPicPr/>
                  </pic:nvPicPr>
                  <pic:blipFill>
                    <a:blip r:embed="rId9">
                      <a:extLst>
                        <a:ext uri="{28A0092B-C50C-407E-A947-70E740481C1C}">
                          <a14:useLocalDpi xmlns:a14="http://schemas.microsoft.com/office/drawing/2010/main" val="0"/>
                        </a:ext>
                      </a:extLst>
                    </a:blip>
                    <a:stretch>
                      <a:fillRect/>
                    </a:stretch>
                  </pic:blipFill>
                  <pic:spPr>
                    <a:xfrm>
                      <a:off x="0" y="0"/>
                      <a:ext cx="2057400" cy="609600"/>
                    </a:xfrm>
                    <a:prstGeom prst="rect">
                      <a:avLst/>
                    </a:prstGeom>
                  </pic:spPr>
                </pic:pic>
              </a:graphicData>
            </a:graphic>
          </wp:inline>
        </w:drawing>
      </w:r>
    </w:p>
    <w:p w14:paraId="5017E146" w14:textId="4BD6BEF3" w:rsidR="00EA16CA" w:rsidRPr="00EC03EA" w:rsidRDefault="005D6B5D" w:rsidP="00607853">
      <w:pPr>
        <w:tabs>
          <w:tab w:val="left" w:pos="2610"/>
        </w:tabs>
        <w:spacing w:line="247" w:lineRule="auto"/>
        <w:ind w:right="78"/>
        <w:jc w:val="center"/>
        <w:rPr>
          <w:rFonts w:ascii="Montserrat" w:eastAsia="Hero" w:hAnsi="Montserrat" w:cs="Hero"/>
          <w:b/>
          <w:color w:val="1BAEE5"/>
          <w:sz w:val="32"/>
          <w:szCs w:val="32"/>
        </w:rPr>
      </w:pPr>
      <w:r>
        <w:rPr>
          <w:rFonts w:ascii="Montserrat" w:eastAsia="Hero" w:hAnsi="Montserrat" w:cs="Hero"/>
          <w:b/>
          <w:color w:val="1BAEE5"/>
          <w:sz w:val="32"/>
          <w:szCs w:val="32"/>
        </w:rPr>
        <w:t>Performance as at</w:t>
      </w:r>
      <w:r w:rsidR="00082CEB">
        <w:rPr>
          <w:rFonts w:ascii="Montserrat" w:eastAsia="Hero" w:hAnsi="Montserrat" w:cs="Hero"/>
          <w:b/>
          <w:color w:val="1BAEE5"/>
          <w:sz w:val="32"/>
          <w:szCs w:val="32"/>
        </w:rPr>
        <w:t xml:space="preserve"> </w:t>
      </w:r>
      <w:r w:rsidR="005540CB">
        <w:rPr>
          <w:rFonts w:ascii="Montserrat" w:eastAsia="Hero" w:hAnsi="Montserrat" w:cs="Hero"/>
          <w:b/>
          <w:color w:val="1BAEE5"/>
          <w:sz w:val="32"/>
          <w:szCs w:val="32"/>
        </w:rPr>
        <w:t>Ju</w:t>
      </w:r>
      <w:r w:rsidR="0081476A">
        <w:rPr>
          <w:rFonts w:ascii="Montserrat" w:eastAsia="Hero" w:hAnsi="Montserrat" w:cs="Hero"/>
          <w:b/>
          <w:color w:val="1BAEE5"/>
          <w:sz w:val="32"/>
          <w:szCs w:val="32"/>
        </w:rPr>
        <w:t>ly</w:t>
      </w:r>
      <w:r w:rsidR="00607853">
        <w:rPr>
          <w:rFonts w:ascii="Montserrat" w:eastAsia="Hero" w:hAnsi="Montserrat" w:cs="Hero"/>
          <w:b/>
          <w:color w:val="1BAEE5"/>
          <w:sz w:val="32"/>
          <w:szCs w:val="32"/>
        </w:rPr>
        <w:t xml:space="preserve"> 202</w:t>
      </w:r>
      <w:r w:rsidR="0005632A">
        <w:rPr>
          <w:rFonts w:ascii="Montserrat" w:eastAsia="Hero" w:hAnsi="Montserrat" w:cs="Hero"/>
          <w:b/>
          <w:color w:val="1BAEE5"/>
          <w:sz w:val="32"/>
          <w:szCs w:val="32"/>
        </w:rPr>
        <w:t>4</w:t>
      </w:r>
    </w:p>
    <w:tbl>
      <w:tblPr>
        <w:tblStyle w:val="TableGrid"/>
        <w:tblW w:w="0" w:type="auto"/>
        <w:tblLook w:val="04A0" w:firstRow="1" w:lastRow="0" w:firstColumn="1" w:lastColumn="0" w:noHBand="0" w:noVBand="1"/>
      </w:tblPr>
      <w:tblGrid>
        <w:gridCol w:w="4757"/>
        <w:gridCol w:w="1121"/>
        <w:gridCol w:w="1828"/>
        <w:gridCol w:w="1310"/>
      </w:tblGrid>
      <w:tr w:rsidR="00EA16CA" w14:paraId="5017E148" w14:textId="77777777" w:rsidTr="00B5397D">
        <w:tc>
          <w:tcPr>
            <w:tcW w:w="9016" w:type="dxa"/>
            <w:gridSpan w:val="4"/>
            <w:shd w:val="clear" w:color="auto" w:fill="00B0F0"/>
          </w:tcPr>
          <w:p w14:paraId="5017E147" w14:textId="77777777" w:rsidR="00EA16CA" w:rsidRPr="00EA16CA" w:rsidRDefault="00C94851" w:rsidP="00EA16CA">
            <w:pPr>
              <w:jc w:val="center"/>
              <w:rPr>
                <w:b/>
                <w:sz w:val="28"/>
                <w:szCs w:val="28"/>
              </w:rPr>
            </w:pPr>
            <w:r>
              <w:rPr>
                <w:b/>
                <w:color w:val="FFFFFF" w:themeColor="background1"/>
                <w:sz w:val="28"/>
                <w:szCs w:val="28"/>
              </w:rPr>
              <w:t xml:space="preserve">Delivering </w:t>
            </w:r>
            <w:r w:rsidR="00EA16CA" w:rsidRPr="00EA16CA">
              <w:rPr>
                <w:b/>
                <w:color w:val="FFFFFF" w:themeColor="background1"/>
                <w:sz w:val="28"/>
                <w:szCs w:val="28"/>
              </w:rPr>
              <w:t>Maintenance Service</w:t>
            </w:r>
          </w:p>
        </w:tc>
      </w:tr>
      <w:tr w:rsidR="00EA16CA" w14:paraId="5017E14D" w14:textId="77777777" w:rsidTr="00B5397D">
        <w:tc>
          <w:tcPr>
            <w:tcW w:w="4757" w:type="dxa"/>
            <w:shd w:val="clear" w:color="auto" w:fill="A3DEF4" w:themeFill="accent2" w:themeFillTint="66"/>
          </w:tcPr>
          <w:p w14:paraId="5017E149" w14:textId="77777777" w:rsidR="00EA16CA" w:rsidRPr="00EC03EA" w:rsidRDefault="00EA16CA" w:rsidP="00EA16CA">
            <w:pPr>
              <w:rPr>
                <w:b/>
                <w:sz w:val="20"/>
                <w:szCs w:val="20"/>
              </w:rPr>
            </w:pPr>
            <w:r w:rsidRPr="00EC03EA">
              <w:rPr>
                <w:b/>
                <w:sz w:val="20"/>
                <w:szCs w:val="20"/>
              </w:rPr>
              <w:t>Indicator</w:t>
            </w:r>
          </w:p>
        </w:tc>
        <w:tc>
          <w:tcPr>
            <w:tcW w:w="1121" w:type="dxa"/>
            <w:shd w:val="clear" w:color="auto" w:fill="A3DEF4" w:themeFill="accent2" w:themeFillTint="66"/>
          </w:tcPr>
          <w:p w14:paraId="5017E14A" w14:textId="77777777" w:rsidR="00EA16CA" w:rsidRPr="00EC03EA" w:rsidRDefault="00EA16CA" w:rsidP="00EA16CA">
            <w:pPr>
              <w:jc w:val="center"/>
              <w:rPr>
                <w:b/>
                <w:sz w:val="20"/>
                <w:szCs w:val="20"/>
              </w:rPr>
            </w:pPr>
            <w:r w:rsidRPr="00EC03EA">
              <w:rPr>
                <w:b/>
                <w:sz w:val="20"/>
                <w:szCs w:val="20"/>
              </w:rPr>
              <w:t>Target</w:t>
            </w:r>
          </w:p>
        </w:tc>
        <w:tc>
          <w:tcPr>
            <w:tcW w:w="1828" w:type="dxa"/>
            <w:shd w:val="clear" w:color="auto" w:fill="A3DEF4" w:themeFill="accent2" w:themeFillTint="66"/>
          </w:tcPr>
          <w:p w14:paraId="5017E14B" w14:textId="77777777" w:rsidR="00EA16CA" w:rsidRPr="00EC03EA" w:rsidRDefault="00EA16CA" w:rsidP="00EA16CA">
            <w:pPr>
              <w:jc w:val="center"/>
              <w:rPr>
                <w:b/>
                <w:sz w:val="20"/>
                <w:szCs w:val="20"/>
              </w:rPr>
            </w:pPr>
            <w:r w:rsidRPr="00EC03EA">
              <w:rPr>
                <w:b/>
                <w:sz w:val="20"/>
                <w:szCs w:val="20"/>
              </w:rPr>
              <w:t>Performance</w:t>
            </w:r>
          </w:p>
        </w:tc>
        <w:tc>
          <w:tcPr>
            <w:tcW w:w="1310" w:type="dxa"/>
            <w:shd w:val="clear" w:color="auto" w:fill="A3DEF4" w:themeFill="accent2" w:themeFillTint="66"/>
          </w:tcPr>
          <w:p w14:paraId="5017E14C" w14:textId="77777777" w:rsidR="00EA16CA" w:rsidRPr="00EC03EA" w:rsidRDefault="00EA16CA" w:rsidP="00EA16CA">
            <w:pPr>
              <w:jc w:val="center"/>
              <w:rPr>
                <w:b/>
                <w:sz w:val="20"/>
                <w:szCs w:val="20"/>
              </w:rPr>
            </w:pPr>
            <w:r w:rsidRPr="00EC03EA">
              <w:rPr>
                <w:b/>
                <w:sz w:val="20"/>
                <w:szCs w:val="20"/>
              </w:rPr>
              <w:t>How are we doing</w:t>
            </w:r>
          </w:p>
        </w:tc>
      </w:tr>
      <w:tr w:rsidR="00454E09" w14:paraId="5017E15C" w14:textId="77777777" w:rsidTr="00BE0199">
        <w:trPr>
          <w:trHeight w:val="481"/>
        </w:trPr>
        <w:tc>
          <w:tcPr>
            <w:tcW w:w="4757" w:type="dxa"/>
          </w:tcPr>
          <w:p w14:paraId="5017E158" w14:textId="77777777" w:rsidR="00454E09" w:rsidRPr="00EC03EA" w:rsidRDefault="00454E09" w:rsidP="00EA16CA">
            <w:pPr>
              <w:rPr>
                <w:sz w:val="20"/>
                <w:szCs w:val="20"/>
              </w:rPr>
            </w:pPr>
            <w:r w:rsidRPr="00EC03EA">
              <w:rPr>
                <w:sz w:val="20"/>
                <w:szCs w:val="20"/>
              </w:rPr>
              <w:t>% of homes with a valid gas safety certificate</w:t>
            </w:r>
          </w:p>
        </w:tc>
        <w:tc>
          <w:tcPr>
            <w:tcW w:w="1121" w:type="dxa"/>
          </w:tcPr>
          <w:p w14:paraId="5017E159" w14:textId="77777777" w:rsidR="00454E09" w:rsidRPr="00EC03EA" w:rsidRDefault="00454E09" w:rsidP="00EA16CA">
            <w:pPr>
              <w:jc w:val="center"/>
              <w:rPr>
                <w:sz w:val="20"/>
                <w:szCs w:val="20"/>
              </w:rPr>
            </w:pPr>
            <w:r w:rsidRPr="00EC03EA">
              <w:rPr>
                <w:sz w:val="20"/>
                <w:szCs w:val="20"/>
              </w:rPr>
              <w:t>100%</w:t>
            </w:r>
          </w:p>
        </w:tc>
        <w:tc>
          <w:tcPr>
            <w:tcW w:w="1828" w:type="dxa"/>
          </w:tcPr>
          <w:p w14:paraId="5017E15A" w14:textId="61AB891F" w:rsidR="00454E09" w:rsidRPr="00EC03EA" w:rsidRDefault="00AF1F2D" w:rsidP="00EA16CA">
            <w:pPr>
              <w:jc w:val="center"/>
              <w:rPr>
                <w:sz w:val="20"/>
                <w:szCs w:val="20"/>
              </w:rPr>
            </w:pPr>
            <w:r>
              <w:rPr>
                <w:sz w:val="20"/>
                <w:szCs w:val="20"/>
              </w:rPr>
              <w:t>99.85%</w:t>
            </w:r>
          </w:p>
        </w:tc>
        <w:tc>
          <w:tcPr>
            <w:tcW w:w="1310" w:type="dxa"/>
          </w:tcPr>
          <w:p w14:paraId="5017E15B" w14:textId="37C39325" w:rsidR="00454E09" w:rsidRPr="00EC03EA" w:rsidRDefault="001F3A55" w:rsidP="00EA16CA">
            <w:pPr>
              <w:jc w:val="center"/>
              <w:rPr>
                <w:sz w:val="20"/>
                <w:szCs w:val="20"/>
              </w:rPr>
            </w:pPr>
            <w:r w:rsidRPr="00EC03EA">
              <w:rPr>
                <w:rFonts w:ascii="Montserrat" w:hAnsi="Montserrat"/>
                <w:b/>
                <w:noProof/>
                <w:sz w:val="20"/>
                <w:szCs w:val="20"/>
                <w:lang w:eastAsia="en-GB"/>
              </w:rPr>
              <w:drawing>
                <wp:inline distT="0" distB="0" distL="0" distR="0" wp14:anchorId="64F0C190" wp14:editId="033EAA53">
                  <wp:extent cx="321310" cy="2952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102" cy="303355"/>
                          </a:xfrm>
                          <a:prstGeom prst="rect">
                            <a:avLst/>
                          </a:prstGeom>
                          <a:noFill/>
                        </pic:spPr>
                      </pic:pic>
                    </a:graphicData>
                  </a:graphic>
                </wp:inline>
              </w:drawing>
            </w:r>
          </w:p>
        </w:tc>
      </w:tr>
      <w:tr w:rsidR="00FD11DA" w14:paraId="36197E3C" w14:textId="77777777" w:rsidTr="00BE0199">
        <w:trPr>
          <w:trHeight w:val="481"/>
        </w:trPr>
        <w:tc>
          <w:tcPr>
            <w:tcW w:w="4757" w:type="dxa"/>
          </w:tcPr>
          <w:p w14:paraId="01E086E8" w14:textId="7BDD0340" w:rsidR="00FD11DA" w:rsidRPr="00EC03EA" w:rsidRDefault="00FD11DA" w:rsidP="00FD11DA">
            <w:pPr>
              <w:rPr>
                <w:sz w:val="20"/>
                <w:szCs w:val="20"/>
              </w:rPr>
            </w:pPr>
            <w:r w:rsidRPr="00EC03EA">
              <w:rPr>
                <w:sz w:val="20"/>
                <w:szCs w:val="20"/>
              </w:rPr>
              <w:t>% Tenant satisfaction</w:t>
            </w:r>
            <w:r>
              <w:rPr>
                <w:sz w:val="20"/>
                <w:szCs w:val="20"/>
              </w:rPr>
              <w:t xml:space="preserve"> with repair</w:t>
            </w:r>
          </w:p>
        </w:tc>
        <w:tc>
          <w:tcPr>
            <w:tcW w:w="1121" w:type="dxa"/>
          </w:tcPr>
          <w:p w14:paraId="1DA41EF1" w14:textId="4949507F" w:rsidR="00FD11DA" w:rsidRPr="00EC03EA" w:rsidRDefault="00897F05" w:rsidP="00FD11DA">
            <w:pPr>
              <w:jc w:val="center"/>
              <w:rPr>
                <w:sz w:val="20"/>
                <w:szCs w:val="20"/>
              </w:rPr>
            </w:pPr>
            <w:r>
              <w:rPr>
                <w:sz w:val="20"/>
                <w:szCs w:val="20"/>
              </w:rPr>
              <w:t>88</w:t>
            </w:r>
            <w:r w:rsidR="00FD11DA" w:rsidRPr="00EC03EA">
              <w:rPr>
                <w:sz w:val="20"/>
                <w:szCs w:val="20"/>
              </w:rPr>
              <w:t>%</w:t>
            </w:r>
          </w:p>
        </w:tc>
        <w:tc>
          <w:tcPr>
            <w:tcW w:w="1828" w:type="dxa"/>
          </w:tcPr>
          <w:p w14:paraId="3C43C0EC" w14:textId="28EB2D64" w:rsidR="00FD11DA" w:rsidRDefault="00AF1F2D" w:rsidP="00FD11DA">
            <w:pPr>
              <w:jc w:val="center"/>
              <w:rPr>
                <w:sz w:val="20"/>
                <w:szCs w:val="20"/>
              </w:rPr>
            </w:pPr>
            <w:r>
              <w:rPr>
                <w:sz w:val="20"/>
                <w:szCs w:val="20"/>
              </w:rPr>
              <w:t>90.7%</w:t>
            </w:r>
          </w:p>
        </w:tc>
        <w:tc>
          <w:tcPr>
            <w:tcW w:w="1310" w:type="dxa"/>
          </w:tcPr>
          <w:p w14:paraId="0E4CDF26" w14:textId="196F7E8B" w:rsidR="00FD11DA" w:rsidRPr="00EC03EA" w:rsidRDefault="00AF1F2D" w:rsidP="00FD11DA">
            <w:pPr>
              <w:jc w:val="center"/>
              <w:rPr>
                <w:rFonts w:ascii="Montserrat" w:hAnsi="Montserrat"/>
                <w:b/>
                <w:noProof/>
                <w:sz w:val="20"/>
                <w:szCs w:val="20"/>
                <w:lang w:eastAsia="en-GB"/>
              </w:rPr>
            </w:pPr>
            <w:r w:rsidRPr="008C510E">
              <w:rPr>
                <w:rFonts w:ascii="Montserrat" w:hAnsi="Montserrat"/>
                <w:noProof/>
                <w:sz w:val="20"/>
                <w:szCs w:val="20"/>
                <w:lang w:eastAsia="en-GB"/>
              </w:rPr>
              <w:drawing>
                <wp:inline distT="0" distB="0" distL="0" distR="0" wp14:anchorId="65565BC2" wp14:editId="3D0B0355">
                  <wp:extent cx="28575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879" cy="298879"/>
                          </a:xfrm>
                          <a:prstGeom prst="rect">
                            <a:avLst/>
                          </a:prstGeom>
                          <a:noFill/>
                        </pic:spPr>
                      </pic:pic>
                    </a:graphicData>
                  </a:graphic>
                </wp:inline>
              </w:drawing>
            </w:r>
          </w:p>
        </w:tc>
      </w:tr>
      <w:tr w:rsidR="00A12B6A" w14:paraId="32C7B849" w14:textId="77777777" w:rsidTr="00F800D3">
        <w:trPr>
          <w:trHeight w:val="1189"/>
        </w:trPr>
        <w:tc>
          <w:tcPr>
            <w:tcW w:w="9016" w:type="dxa"/>
            <w:gridSpan w:val="4"/>
          </w:tcPr>
          <w:p w14:paraId="20CAA153" w14:textId="3DAE8211" w:rsidR="0081476A" w:rsidRPr="001C01B4" w:rsidRDefault="00435990" w:rsidP="001C01B4">
            <w:pPr>
              <w:rPr>
                <w:rFonts w:ascii="Montserrat" w:hAnsi="Montserrat"/>
                <w:b/>
                <w:noProof/>
                <w:sz w:val="20"/>
                <w:szCs w:val="20"/>
                <w:lang w:eastAsia="en-GB"/>
              </w:rPr>
            </w:pPr>
            <w:r>
              <w:rPr>
                <w:rFonts w:ascii="Montserrat" w:hAnsi="Montserrat"/>
                <w:b/>
                <w:noProof/>
                <w:sz w:val="20"/>
                <w:szCs w:val="20"/>
                <w:lang w:eastAsia="en-GB"/>
              </w:rPr>
              <w:t>% homes with a gas safety certificate</w:t>
            </w:r>
            <w:r w:rsidR="001C01B4">
              <w:rPr>
                <w:rFonts w:ascii="Montserrat" w:hAnsi="Montserrat"/>
                <w:b/>
                <w:noProof/>
                <w:sz w:val="20"/>
                <w:szCs w:val="20"/>
                <w:lang w:eastAsia="en-GB"/>
              </w:rPr>
              <w:t>:</w:t>
            </w:r>
          </w:p>
          <w:p w14:paraId="6C67767F" w14:textId="340CBE42" w:rsidR="00292F56" w:rsidRPr="00CB70C9" w:rsidRDefault="00292F56" w:rsidP="00292F56">
            <w:pPr>
              <w:rPr>
                <w:rFonts w:ascii="Montserrat" w:eastAsia="Times New Roman" w:hAnsi="Montserrat" w:cs="Times New Roman"/>
                <w:b/>
                <w:sz w:val="20"/>
                <w:szCs w:val="20"/>
              </w:rPr>
            </w:pPr>
            <w:r w:rsidRPr="00CB70C9">
              <w:rPr>
                <w:rFonts w:ascii="Montserrat" w:eastAsia="Times New Roman" w:hAnsi="Montserrat" w:cs="Times New Roman"/>
                <w:b/>
                <w:sz w:val="20"/>
                <w:szCs w:val="20"/>
              </w:rPr>
              <w:t xml:space="preserve">There </w:t>
            </w:r>
            <w:r>
              <w:rPr>
                <w:rFonts w:ascii="Montserrat" w:eastAsia="Times New Roman" w:hAnsi="Montserrat" w:cs="Times New Roman"/>
                <w:b/>
                <w:sz w:val="20"/>
                <w:szCs w:val="20"/>
              </w:rPr>
              <w:t>were</w:t>
            </w:r>
            <w:r w:rsidRPr="00CB70C9">
              <w:rPr>
                <w:rFonts w:ascii="Montserrat" w:eastAsia="Times New Roman" w:hAnsi="Montserrat" w:cs="Times New Roman"/>
                <w:b/>
                <w:sz w:val="20"/>
                <w:szCs w:val="20"/>
              </w:rPr>
              <w:t xml:space="preserve"> </w:t>
            </w:r>
            <w:r>
              <w:rPr>
                <w:rFonts w:ascii="Montserrat" w:eastAsia="Times New Roman" w:hAnsi="Montserrat" w:cs="Times New Roman"/>
                <w:b/>
                <w:sz w:val="20"/>
                <w:szCs w:val="20"/>
              </w:rPr>
              <w:t>five</w:t>
            </w:r>
            <w:r w:rsidRPr="00CB70C9">
              <w:rPr>
                <w:rFonts w:ascii="Montserrat" w:eastAsia="Times New Roman" w:hAnsi="Montserrat" w:cs="Times New Roman"/>
                <w:b/>
                <w:sz w:val="20"/>
                <w:szCs w:val="20"/>
              </w:rPr>
              <w:t xml:space="preserve"> gas services outside of target as of the end of July 2024.  </w:t>
            </w:r>
          </w:p>
          <w:p w14:paraId="5839E3CA" w14:textId="77777777" w:rsidR="00292F56" w:rsidRPr="00CB70C9" w:rsidRDefault="00292F56" w:rsidP="00292F56">
            <w:pPr>
              <w:numPr>
                <w:ilvl w:val="0"/>
                <w:numId w:val="2"/>
              </w:numPr>
              <w:contextualSpacing/>
              <w:rPr>
                <w:rFonts w:ascii="Montserrat" w:eastAsia="Times New Roman" w:hAnsi="Montserrat" w:cs="Times New Roman"/>
                <w:b/>
                <w:sz w:val="20"/>
                <w:szCs w:val="20"/>
              </w:rPr>
            </w:pPr>
            <w:r w:rsidRPr="00CB70C9">
              <w:rPr>
                <w:rFonts w:ascii="Montserrat" w:eastAsia="Times New Roman" w:hAnsi="Montserrat" w:cs="Times New Roman"/>
                <w:b/>
                <w:sz w:val="20"/>
                <w:szCs w:val="20"/>
              </w:rPr>
              <w:t xml:space="preserve">One property has had continuous issues with access and is currently going through court proceedings. </w:t>
            </w:r>
          </w:p>
          <w:p w14:paraId="3FE4ADC0" w14:textId="77777777" w:rsidR="00292F56" w:rsidRPr="00CB70C9" w:rsidRDefault="00292F56" w:rsidP="00292F56">
            <w:pPr>
              <w:numPr>
                <w:ilvl w:val="0"/>
                <w:numId w:val="2"/>
              </w:numPr>
              <w:contextualSpacing/>
              <w:rPr>
                <w:rFonts w:ascii="Montserrat" w:eastAsia="Times New Roman" w:hAnsi="Montserrat" w:cs="Times New Roman"/>
                <w:b/>
                <w:sz w:val="20"/>
                <w:szCs w:val="20"/>
              </w:rPr>
            </w:pPr>
            <w:r w:rsidRPr="00CB70C9">
              <w:rPr>
                <w:rFonts w:ascii="Montserrat" w:eastAsia="Times New Roman" w:hAnsi="Montserrat" w:cs="Times New Roman"/>
                <w:b/>
                <w:sz w:val="20"/>
                <w:szCs w:val="20"/>
              </w:rPr>
              <w:t xml:space="preserve">The tenant for one property is overseas and the housing officer is to update property compliance when the tenant returns.  </w:t>
            </w:r>
          </w:p>
          <w:p w14:paraId="42EA71C5" w14:textId="77777777" w:rsidR="00292F56" w:rsidRPr="00CB70C9" w:rsidRDefault="00292F56" w:rsidP="00292F56">
            <w:pPr>
              <w:numPr>
                <w:ilvl w:val="0"/>
                <w:numId w:val="2"/>
              </w:numPr>
              <w:contextualSpacing/>
              <w:rPr>
                <w:rFonts w:ascii="Montserrat" w:eastAsia="Times New Roman" w:hAnsi="Montserrat" w:cs="Times New Roman"/>
                <w:b/>
                <w:sz w:val="20"/>
                <w:szCs w:val="20"/>
              </w:rPr>
            </w:pPr>
            <w:r w:rsidRPr="00CB70C9">
              <w:rPr>
                <w:rFonts w:ascii="Montserrat" w:eastAsia="Times New Roman" w:hAnsi="Montserrat" w:cs="Times New Roman"/>
                <w:b/>
                <w:sz w:val="20"/>
                <w:szCs w:val="20"/>
              </w:rPr>
              <w:t>Three properties with overdue gas services are SBC managed properties.  SBC could not confirm valid gas certificates, the services for these 3 properties are now complete.</w:t>
            </w:r>
          </w:p>
          <w:p w14:paraId="73AF9A84" w14:textId="30C88228" w:rsidR="0081476A" w:rsidRPr="00063CDB" w:rsidRDefault="0081476A" w:rsidP="00063CDB">
            <w:pPr>
              <w:pStyle w:val="NoSpacing"/>
              <w:rPr>
                <w:rFonts w:asciiTheme="majorHAnsi" w:hAnsiTheme="majorHAnsi"/>
                <w:sz w:val="20"/>
                <w:szCs w:val="20"/>
                <w:lang w:eastAsia="en-GB"/>
              </w:rPr>
            </w:pPr>
          </w:p>
        </w:tc>
      </w:tr>
    </w:tbl>
    <w:p w14:paraId="5017E168" w14:textId="77777777" w:rsidR="00C94851" w:rsidRDefault="00C94851" w:rsidP="00C94851">
      <w:pPr>
        <w:rPr>
          <w:sz w:val="24"/>
          <w:szCs w:val="24"/>
        </w:rPr>
      </w:pPr>
    </w:p>
    <w:tbl>
      <w:tblPr>
        <w:tblStyle w:val="TableGrid"/>
        <w:tblW w:w="0" w:type="auto"/>
        <w:tblLook w:val="04A0" w:firstRow="1" w:lastRow="0" w:firstColumn="1" w:lastColumn="0" w:noHBand="0" w:noVBand="1"/>
      </w:tblPr>
      <w:tblGrid>
        <w:gridCol w:w="4743"/>
        <w:gridCol w:w="1125"/>
        <w:gridCol w:w="1835"/>
        <w:gridCol w:w="1313"/>
      </w:tblGrid>
      <w:tr w:rsidR="00C94851" w:rsidRPr="00EA16CA" w14:paraId="5017E16A" w14:textId="77777777" w:rsidTr="005303C2">
        <w:tc>
          <w:tcPr>
            <w:tcW w:w="9016" w:type="dxa"/>
            <w:gridSpan w:val="4"/>
            <w:shd w:val="clear" w:color="auto" w:fill="00B0F0"/>
          </w:tcPr>
          <w:p w14:paraId="5017E169" w14:textId="77777777" w:rsidR="00C94851" w:rsidRPr="00EA16CA" w:rsidRDefault="00C94851" w:rsidP="00C94851">
            <w:pPr>
              <w:jc w:val="center"/>
              <w:rPr>
                <w:b/>
                <w:sz w:val="28"/>
                <w:szCs w:val="28"/>
              </w:rPr>
            </w:pPr>
            <w:r>
              <w:rPr>
                <w:b/>
                <w:color w:val="FFFFFF" w:themeColor="background1"/>
                <w:sz w:val="28"/>
                <w:szCs w:val="28"/>
              </w:rPr>
              <w:t>Managing Empty Homes</w:t>
            </w:r>
          </w:p>
        </w:tc>
      </w:tr>
      <w:tr w:rsidR="00C94851" w:rsidRPr="00EA16CA" w14:paraId="5017E16F" w14:textId="77777777" w:rsidTr="005303C2">
        <w:trPr>
          <w:trHeight w:val="650"/>
        </w:trPr>
        <w:tc>
          <w:tcPr>
            <w:tcW w:w="4743" w:type="dxa"/>
            <w:shd w:val="clear" w:color="auto" w:fill="A3DEF4" w:themeFill="accent2" w:themeFillTint="66"/>
          </w:tcPr>
          <w:p w14:paraId="5017E16B" w14:textId="77777777" w:rsidR="00C94851" w:rsidRPr="00EA16CA" w:rsidRDefault="00C94851" w:rsidP="00BB7573">
            <w:pPr>
              <w:rPr>
                <w:b/>
              </w:rPr>
            </w:pPr>
            <w:r w:rsidRPr="00EA16CA">
              <w:rPr>
                <w:b/>
              </w:rPr>
              <w:t>Indicator</w:t>
            </w:r>
          </w:p>
        </w:tc>
        <w:tc>
          <w:tcPr>
            <w:tcW w:w="1125" w:type="dxa"/>
            <w:shd w:val="clear" w:color="auto" w:fill="A3DEF4" w:themeFill="accent2" w:themeFillTint="66"/>
          </w:tcPr>
          <w:p w14:paraId="5017E16C" w14:textId="77777777" w:rsidR="00C94851" w:rsidRPr="00EA16CA" w:rsidRDefault="00C94851" w:rsidP="00BB7573">
            <w:pPr>
              <w:jc w:val="center"/>
              <w:rPr>
                <w:b/>
              </w:rPr>
            </w:pPr>
            <w:r w:rsidRPr="00EA16CA">
              <w:rPr>
                <w:b/>
              </w:rPr>
              <w:t>Target</w:t>
            </w:r>
          </w:p>
        </w:tc>
        <w:tc>
          <w:tcPr>
            <w:tcW w:w="1835" w:type="dxa"/>
            <w:shd w:val="clear" w:color="auto" w:fill="A3DEF4" w:themeFill="accent2" w:themeFillTint="66"/>
          </w:tcPr>
          <w:p w14:paraId="5017E16D" w14:textId="77777777" w:rsidR="00C94851" w:rsidRPr="00EA16CA" w:rsidRDefault="00C94851" w:rsidP="00BB7573">
            <w:pPr>
              <w:jc w:val="center"/>
              <w:rPr>
                <w:b/>
              </w:rPr>
            </w:pPr>
            <w:r w:rsidRPr="00EA16CA">
              <w:rPr>
                <w:b/>
              </w:rPr>
              <w:t>Performance</w:t>
            </w:r>
          </w:p>
        </w:tc>
        <w:tc>
          <w:tcPr>
            <w:tcW w:w="1313" w:type="dxa"/>
            <w:shd w:val="clear" w:color="auto" w:fill="A3DEF4" w:themeFill="accent2" w:themeFillTint="66"/>
          </w:tcPr>
          <w:p w14:paraId="5017E16E" w14:textId="77777777" w:rsidR="00C94851" w:rsidRPr="00EA16CA" w:rsidRDefault="00C94851" w:rsidP="00BB7573">
            <w:pPr>
              <w:jc w:val="center"/>
              <w:rPr>
                <w:b/>
              </w:rPr>
            </w:pPr>
            <w:r w:rsidRPr="00EA16CA">
              <w:rPr>
                <w:b/>
              </w:rPr>
              <w:t>How are we doing</w:t>
            </w:r>
          </w:p>
        </w:tc>
      </w:tr>
      <w:tr w:rsidR="00C94851" w:rsidRPr="00EA16CA" w14:paraId="5017E174" w14:textId="77777777" w:rsidTr="005303C2">
        <w:trPr>
          <w:trHeight w:val="451"/>
        </w:trPr>
        <w:tc>
          <w:tcPr>
            <w:tcW w:w="4743" w:type="dxa"/>
          </w:tcPr>
          <w:p w14:paraId="5017E170" w14:textId="77777777" w:rsidR="00C94851" w:rsidRPr="008C510E" w:rsidRDefault="00C94851" w:rsidP="00C94851">
            <w:pPr>
              <w:rPr>
                <w:sz w:val="20"/>
                <w:szCs w:val="20"/>
              </w:rPr>
            </w:pPr>
            <w:r w:rsidRPr="008C510E">
              <w:rPr>
                <w:sz w:val="20"/>
                <w:szCs w:val="20"/>
              </w:rPr>
              <w:t xml:space="preserve">% of £ lost due to empty homes </w:t>
            </w:r>
          </w:p>
        </w:tc>
        <w:tc>
          <w:tcPr>
            <w:tcW w:w="1125" w:type="dxa"/>
          </w:tcPr>
          <w:p w14:paraId="5017E171" w14:textId="16A99D01" w:rsidR="00C94851" w:rsidRPr="008C510E" w:rsidRDefault="003B1C50" w:rsidP="00C94851">
            <w:pPr>
              <w:jc w:val="center"/>
              <w:rPr>
                <w:sz w:val="20"/>
                <w:szCs w:val="20"/>
              </w:rPr>
            </w:pPr>
            <w:r>
              <w:rPr>
                <w:sz w:val="20"/>
                <w:szCs w:val="20"/>
              </w:rPr>
              <w:t>0</w:t>
            </w:r>
            <w:r w:rsidR="00C94851" w:rsidRPr="008C510E">
              <w:rPr>
                <w:sz w:val="20"/>
                <w:szCs w:val="20"/>
              </w:rPr>
              <w:t>.</w:t>
            </w:r>
            <w:r w:rsidR="00ED38B2">
              <w:rPr>
                <w:sz w:val="20"/>
                <w:szCs w:val="20"/>
              </w:rPr>
              <w:t>7</w:t>
            </w:r>
            <w:r w:rsidR="00242242">
              <w:rPr>
                <w:sz w:val="20"/>
                <w:szCs w:val="20"/>
              </w:rPr>
              <w:t>9</w:t>
            </w:r>
            <w:r w:rsidR="00C94851" w:rsidRPr="008C510E">
              <w:rPr>
                <w:sz w:val="20"/>
                <w:szCs w:val="20"/>
              </w:rPr>
              <w:t>%</w:t>
            </w:r>
          </w:p>
        </w:tc>
        <w:tc>
          <w:tcPr>
            <w:tcW w:w="1835" w:type="dxa"/>
          </w:tcPr>
          <w:p w14:paraId="5017E172" w14:textId="5F1AE9C6" w:rsidR="00E33E4A" w:rsidRPr="008C510E" w:rsidRDefault="00B20B7B" w:rsidP="00E6583A">
            <w:pPr>
              <w:jc w:val="center"/>
              <w:rPr>
                <w:sz w:val="20"/>
                <w:szCs w:val="20"/>
              </w:rPr>
            </w:pPr>
            <w:r>
              <w:rPr>
                <w:sz w:val="20"/>
                <w:szCs w:val="20"/>
              </w:rPr>
              <w:t>0.83%</w:t>
            </w:r>
          </w:p>
        </w:tc>
        <w:tc>
          <w:tcPr>
            <w:tcW w:w="1313" w:type="dxa"/>
          </w:tcPr>
          <w:p w14:paraId="5017E173" w14:textId="5CF518F8" w:rsidR="00C94851" w:rsidRPr="008C510E" w:rsidRDefault="00ED38B2" w:rsidP="00BB7573">
            <w:pPr>
              <w:jc w:val="center"/>
              <w:rPr>
                <w:sz w:val="20"/>
                <w:szCs w:val="20"/>
              </w:rPr>
            </w:pPr>
            <w:r w:rsidRPr="00EC03EA">
              <w:rPr>
                <w:rFonts w:ascii="Montserrat" w:hAnsi="Montserrat"/>
                <w:b/>
                <w:noProof/>
                <w:sz w:val="20"/>
                <w:szCs w:val="20"/>
                <w:lang w:eastAsia="en-GB"/>
              </w:rPr>
              <w:drawing>
                <wp:inline distT="0" distB="0" distL="0" distR="0" wp14:anchorId="41CBC766" wp14:editId="41AD5DB6">
                  <wp:extent cx="321310" cy="2952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102" cy="303355"/>
                          </a:xfrm>
                          <a:prstGeom prst="rect">
                            <a:avLst/>
                          </a:prstGeom>
                          <a:noFill/>
                        </pic:spPr>
                      </pic:pic>
                    </a:graphicData>
                  </a:graphic>
                </wp:inline>
              </w:drawing>
            </w:r>
          </w:p>
        </w:tc>
      </w:tr>
      <w:tr w:rsidR="00C94851" w:rsidRPr="00EA16CA" w14:paraId="5017E179" w14:textId="77777777" w:rsidTr="005303C2">
        <w:trPr>
          <w:trHeight w:val="506"/>
        </w:trPr>
        <w:tc>
          <w:tcPr>
            <w:tcW w:w="4743" w:type="dxa"/>
          </w:tcPr>
          <w:p w14:paraId="5017E175" w14:textId="77777777" w:rsidR="00C94851" w:rsidRPr="008C510E" w:rsidRDefault="00C94851" w:rsidP="00BB7573">
            <w:pPr>
              <w:rPr>
                <w:sz w:val="20"/>
                <w:szCs w:val="20"/>
              </w:rPr>
            </w:pPr>
            <w:r w:rsidRPr="008C510E">
              <w:rPr>
                <w:sz w:val="20"/>
                <w:szCs w:val="20"/>
              </w:rPr>
              <w:t>Average time to let a property</w:t>
            </w:r>
          </w:p>
        </w:tc>
        <w:tc>
          <w:tcPr>
            <w:tcW w:w="1125" w:type="dxa"/>
          </w:tcPr>
          <w:p w14:paraId="5017E176" w14:textId="42D03675" w:rsidR="00C94851" w:rsidRPr="008C510E" w:rsidRDefault="008C7BA7" w:rsidP="00BB7573">
            <w:pPr>
              <w:jc w:val="center"/>
              <w:rPr>
                <w:sz w:val="20"/>
                <w:szCs w:val="20"/>
              </w:rPr>
            </w:pPr>
            <w:r>
              <w:rPr>
                <w:sz w:val="20"/>
                <w:szCs w:val="20"/>
              </w:rPr>
              <w:t>20</w:t>
            </w:r>
            <w:r w:rsidR="00C94851" w:rsidRPr="008C510E">
              <w:rPr>
                <w:sz w:val="20"/>
                <w:szCs w:val="20"/>
              </w:rPr>
              <w:t xml:space="preserve"> days</w:t>
            </w:r>
          </w:p>
        </w:tc>
        <w:tc>
          <w:tcPr>
            <w:tcW w:w="1835" w:type="dxa"/>
          </w:tcPr>
          <w:p w14:paraId="5017E177" w14:textId="59AEEE91" w:rsidR="00C94851" w:rsidRPr="008C510E" w:rsidRDefault="00B20B7B" w:rsidP="00BB7573">
            <w:pPr>
              <w:jc w:val="center"/>
              <w:rPr>
                <w:sz w:val="20"/>
                <w:szCs w:val="20"/>
              </w:rPr>
            </w:pPr>
            <w:r>
              <w:rPr>
                <w:sz w:val="20"/>
                <w:szCs w:val="20"/>
              </w:rPr>
              <w:t>30 days</w:t>
            </w:r>
          </w:p>
        </w:tc>
        <w:tc>
          <w:tcPr>
            <w:tcW w:w="1313" w:type="dxa"/>
          </w:tcPr>
          <w:p w14:paraId="5017E178" w14:textId="68979D94" w:rsidR="00C94851" w:rsidRPr="008C510E" w:rsidRDefault="00A13E83" w:rsidP="00456E91">
            <w:pPr>
              <w:jc w:val="center"/>
              <w:rPr>
                <w:sz w:val="20"/>
                <w:szCs w:val="20"/>
              </w:rPr>
            </w:pPr>
            <w:r w:rsidRPr="00EC03EA">
              <w:rPr>
                <w:rFonts w:ascii="Montserrat" w:hAnsi="Montserrat"/>
                <w:b/>
                <w:noProof/>
                <w:sz w:val="20"/>
                <w:szCs w:val="20"/>
                <w:lang w:eastAsia="en-GB"/>
              </w:rPr>
              <w:drawing>
                <wp:inline distT="0" distB="0" distL="0" distR="0" wp14:anchorId="1B852969" wp14:editId="5E92512C">
                  <wp:extent cx="321310" cy="295275"/>
                  <wp:effectExtent l="0" t="0" r="254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102" cy="303355"/>
                          </a:xfrm>
                          <a:prstGeom prst="rect">
                            <a:avLst/>
                          </a:prstGeom>
                          <a:noFill/>
                        </pic:spPr>
                      </pic:pic>
                    </a:graphicData>
                  </a:graphic>
                </wp:inline>
              </w:drawing>
            </w:r>
          </w:p>
        </w:tc>
      </w:tr>
      <w:tr w:rsidR="00A13E83" w:rsidRPr="00EA16CA" w14:paraId="3CF05A64" w14:textId="77777777" w:rsidTr="000A30AA">
        <w:trPr>
          <w:trHeight w:val="506"/>
        </w:trPr>
        <w:tc>
          <w:tcPr>
            <w:tcW w:w="9016" w:type="dxa"/>
            <w:gridSpan w:val="4"/>
          </w:tcPr>
          <w:p w14:paraId="5F923E4A" w14:textId="1990C987" w:rsidR="00E1729E" w:rsidRPr="00E1729E" w:rsidRDefault="00E1729E" w:rsidP="0003456A">
            <w:pPr>
              <w:rPr>
                <w:rFonts w:ascii="Montserrat" w:hAnsi="Montserrat"/>
                <w:b/>
                <w:bCs/>
                <w:noProof/>
                <w:sz w:val="20"/>
                <w:szCs w:val="20"/>
                <w:lang w:eastAsia="en-GB"/>
              </w:rPr>
            </w:pPr>
            <w:r w:rsidRPr="00E1729E">
              <w:rPr>
                <w:b/>
                <w:bCs/>
                <w:sz w:val="20"/>
                <w:szCs w:val="20"/>
              </w:rPr>
              <w:t>% of £ lost due to empty homes</w:t>
            </w:r>
            <w:r>
              <w:rPr>
                <w:b/>
                <w:bCs/>
                <w:sz w:val="20"/>
                <w:szCs w:val="20"/>
              </w:rPr>
              <w:t>:</w:t>
            </w:r>
          </w:p>
          <w:p w14:paraId="095705DC" w14:textId="77777777" w:rsidR="00EF4D02" w:rsidRPr="007A1684" w:rsidRDefault="00EF4D02" w:rsidP="00EF4D02">
            <w:pPr>
              <w:rPr>
                <w:rFonts w:ascii="Montserrat" w:hAnsi="Montserrat"/>
                <w:noProof/>
                <w:sz w:val="20"/>
                <w:szCs w:val="20"/>
                <w:lang w:eastAsia="en-GB"/>
              </w:rPr>
            </w:pPr>
            <w:r>
              <w:rPr>
                <w:rFonts w:ascii="Montserrat" w:hAnsi="Montserrat"/>
                <w:noProof/>
                <w:sz w:val="20"/>
                <w:szCs w:val="20"/>
                <w:lang w:eastAsia="en-GB"/>
              </w:rPr>
              <w:t xml:space="preserve">Some of our empty homes are taking longer to repair. We are working closely with our contractors to reduce this and improve our performance.  </w:t>
            </w:r>
          </w:p>
          <w:p w14:paraId="1818F1BB" w14:textId="77777777" w:rsidR="0081476A" w:rsidRDefault="0081476A" w:rsidP="00E1729E">
            <w:pPr>
              <w:rPr>
                <w:rFonts w:ascii="Montserrat" w:hAnsi="Montserrat"/>
                <w:b/>
                <w:bCs/>
                <w:noProof/>
                <w:sz w:val="20"/>
                <w:szCs w:val="20"/>
                <w:lang w:eastAsia="en-GB"/>
              </w:rPr>
            </w:pPr>
          </w:p>
          <w:p w14:paraId="42AF6B2F" w14:textId="57C76921" w:rsidR="00E1729E" w:rsidRPr="00A13E83" w:rsidRDefault="00E1729E" w:rsidP="00E1729E">
            <w:pPr>
              <w:rPr>
                <w:rFonts w:ascii="Montserrat" w:hAnsi="Montserrat"/>
                <w:b/>
                <w:bCs/>
                <w:noProof/>
                <w:sz w:val="20"/>
                <w:szCs w:val="20"/>
                <w:lang w:eastAsia="en-GB"/>
              </w:rPr>
            </w:pPr>
            <w:r w:rsidRPr="00A13E83">
              <w:rPr>
                <w:rFonts w:ascii="Montserrat" w:hAnsi="Montserrat"/>
                <w:b/>
                <w:bCs/>
                <w:noProof/>
                <w:sz w:val="20"/>
                <w:szCs w:val="20"/>
                <w:lang w:eastAsia="en-GB"/>
              </w:rPr>
              <w:t>Average relet time:</w:t>
            </w:r>
          </w:p>
          <w:p w14:paraId="6A599521" w14:textId="17934EEE" w:rsidR="0081476A" w:rsidRDefault="00E9471A" w:rsidP="0081476A">
            <w:pPr>
              <w:rPr>
                <w:rFonts w:ascii="Montserrat" w:hAnsi="Montserrat"/>
                <w:noProof/>
                <w:sz w:val="20"/>
                <w:szCs w:val="20"/>
                <w:lang w:eastAsia="en-GB"/>
              </w:rPr>
            </w:pPr>
            <w:r>
              <w:rPr>
                <w:rFonts w:ascii="Montserrat" w:hAnsi="Montserrat"/>
                <w:noProof/>
                <w:sz w:val="20"/>
                <w:szCs w:val="20"/>
                <w:lang w:eastAsia="en-GB"/>
              </w:rPr>
              <w:t xml:space="preserve">During April, we let two properties that took longer to repair as they needed major work.  This has impacted our performance.  Excluding these properties, we would be within target. </w:t>
            </w:r>
          </w:p>
          <w:p w14:paraId="12BECDF8" w14:textId="3BA1C5AC" w:rsidR="0081476A" w:rsidRPr="008C510E" w:rsidRDefault="0081476A" w:rsidP="0081476A">
            <w:pPr>
              <w:rPr>
                <w:rFonts w:ascii="Montserrat" w:hAnsi="Montserrat"/>
                <w:noProof/>
                <w:sz w:val="20"/>
                <w:szCs w:val="20"/>
                <w:lang w:eastAsia="en-GB"/>
              </w:rPr>
            </w:pPr>
          </w:p>
        </w:tc>
      </w:tr>
    </w:tbl>
    <w:p w14:paraId="5017E17E" w14:textId="77777777" w:rsidR="00DC780D" w:rsidRDefault="00DC780D" w:rsidP="00C94851">
      <w:pPr>
        <w:rPr>
          <w:sz w:val="24"/>
          <w:szCs w:val="24"/>
        </w:rPr>
      </w:pPr>
    </w:p>
    <w:tbl>
      <w:tblPr>
        <w:tblStyle w:val="TableGrid"/>
        <w:tblW w:w="0" w:type="auto"/>
        <w:tblLook w:val="04A0" w:firstRow="1" w:lastRow="0" w:firstColumn="1" w:lastColumn="0" w:noHBand="0" w:noVBand="1"/>
      </w:tblPr>
      <w:tblGrid>
        <w:gridCol w:w="4743"/>
        <w:gridCol w:w="1125"/>
        <w:gridCol w:w="1835"/>
        <w:gridCol w:w="1313"/>
      </w:tblGrid>
      <w:tr w:rsidR="00C94851" w:rsidRPr="00EA16CA" w14:paraId="5017E180" w14:textId="77777777" w:rsidTr="00C36DEA">
        <w:tc>
          <w:tcPr>
            <w:tcW w:w="9016" w:type="dxa"/>
            <w:gridSpan w:val="4"/>
            <w:shd w:val="clear" w:color="auto" w:fill="00B0F0"/>
          </w:tcPr>
          <w:p w14:paraId="5017E17F" w14:textId="77777777" w:rsidR="00C94851" w:rsidRPr="00EA16CA" w:rsidRDefault="00C94851" w:rsidP="00C94851">
            <w:pPr>
              <w:jc w:val="center"/>
              <w:rPr>
                <w:b/>
                <w:sz w:val="28"/>
                <w:szCs w:val="28"/>
              </w:rPr>
            </w:pPr>
            <w:r>
              <w:rPr>
                <w:b/>
                <w:color w:val="FFFFFF" w:themeColor="background1"/>
                <w:sz w:val="28"/>
                <w:szCs w:val="28"/>
              </w:rPr>
              <w:t>Managing Income</w:t>
            </w:r>
          </w:p>
        </w:tc>
      </w:tr>
      <w:tr w:rsidR="00C94851" w:rsidRPr="00EA16CA" w14:paraId="5017E185" w14:textId="77777777" w:rsidTr="00C36DEA">
        <w:tc>
          <w:tcPr>
            <w:tcW w:w="4743" w:type="dxa"/>
            <w:shd w:val="clear" w:color="auto" w:fill="A3DEF4" w:themeFill="accent2" w:themeFillTint="66"/>
          </w:tcPr>
          <w:p w14:paraId="5017E181" w14:textId="77777777" w:rsidR="00C94851" w:rsidRPr="00EA16CA" w:rsidRDefault="00C94851" w:rsidP="00BB7573">
            <w:pPr>
              <w:rPr>
                <w:b/>
              </w:rPr>
            </w:pPr>
            <w:r w:rsidRPr="00EA16CA">
              <w:rPr>
                <w:b/>
              </w:rPr>
              <w:t>Indicator</w:t>
            </w:r>
          </w:p>
        </w:tc>
        <w:tc>
          <w:tcPr>
            <w:tcW w:w="1125" w:type="dxa"/>
            <w:shd w:val="clear" w:color="auto" w:fill="A3DEF4" w:themeFill="accent2" w:themeFillTint="66"/>
          </w:tcPr>
          <w:p w14:paraId="5017E182" w14:textId="77777777" w:rsidR="00C94851" w:rsidRPr="00EA16CA" w:rsidRDefault="00C94851" w:rsidP="00BB7573">
            <w:pPr>
              <w:jc w:val="center"/>
              <w:rPr>
                <w:b/>
              </w:rPr>
            </w:pPr>
            <w:r w:rsidRPr="00EA16CA">
              <w:rPr>
                <w:b/>
              </w:rPr>
              <w:t>Target</w:t>
            </w:r>
          </w:p>
        </w:tc>
        <w:tc>
          <w:tcPr>
            <w:tcW w:w="1835" w:type="dxa"/>
            <w:shd w:val="clear" w:color="auto" w:fill="A3DEF4" w:themeFill="accent2" w:themeFillTint="66"/>
          </w:tcPr>
          <w:p w14:paraId="5017E183" w14:textId="77777777" w:rsidR="00C94851" w:rsidRPr="00EA16CA" w:rsidRDefault="00C94851" w:rsidP="00BB7573">
            <w:pPr>
              <w:jc w:val="center"/>
              <w:rPr>
                <w:b/>
              </w:rPr>
            </w:pPr>
            <w:r w:rsidRPr="00EA16CA">
              <w:rPr>
                <w:b/>
              </w:rPr>
              <w:t>Performance</w:t>
            </w:r>
          </w:p>
        </w:tc>
        <w:tc>
          <w:tcPr>
            <w:tcW w:w="1313" w:type="dxa"/>
            <w:shd w:val="clear" w:color="auto" w:fill="A3DEF4" w:themeFill="accent2" w:themeFillTint="66"/>
          </w:tcPr>
          <w:p w14:paraId="5017E184" w14:textId="77777777" w:rsidR="00C94851" w:rsidRPr="00EA16CA" w:rsidRDefault="00C94851" w:rsidP="00BB7573">
            <w:pPr>
              <w:jc w:val="center"/>
              <w:rPr>
                <w:b/>
              </w:rPr>
            </w:pPr>
            <w:r w:rsidRPr="00EA16CA">
              <w:rPr>
                <w:b/>
              </w:rPr>
              <w:t>How are we doing</w:t>
            </w:r>
          </w:p>
        </w:tc>
      </w:tr>
      <w:tr w:rsidR="00C94851" w:rsidRPr="00EA16CA" w14:paraId="5017E18A" w14:textId="77777777" w:rsidTr="00D11E05">
        <w:trPr>
          <w:trHeight w:val="454"/>
        </w:trPr>
        <w:tc>
          <w:tcPr>
            <w:tcW w:w="4743" w:type="dxa"/>
          </w:tcPr>
          <w:p w14:paraId="5017E186" w14:textId="77777777" w:rsidR="00C94851" w:rsidRPr="008C510E" w:rsidRDefault="00C94851" w:rsidP="00C94851">
            <w:pPr>
              <w:rPr>
                <w:sz w:val="20"/>
                <w:szCs w:val="20"/>
              </w:rPr>
            </w:pPr>
            <w:r w:rsidRPr="008C510E">
              <w:rPr>
                <w:sz w:val="20"/>
                <w:szCs w:val="20"/>
              </w:rPr>
              <w:t xml:space="preserve">% of £ lost due to rent arrears </w:t>
            </w:r>
          </w:p>
        </w:tc>
        <w:tc>
          <w:tcPr>
            <w:tcW w:w="1125" w:type="dxa"/>
          </w:tcPr>
          <w:p w14:paraId="5017E187" w14:textId="54DCA11B" w:rsidR="00C94851" w:rsidRPr="008C510E" w:rsidRDefault="00A3526D" w:rsidP="00C94851">
            <w:pPr>
              <w:jc w:val="center"/>
              <w:rPr>
                <w:sz w:val="20"/>
                <w:szCs w:val="20"/>
              </w:rPr>
            </w:pPr>
            <w:r>
              <w:rPr>
                <w:sz w:val="20"/>
                <w:szCs w:val="20"/>
              </w:rPr>
              <w:t>2</w:t>
            </w:r>
            <w:r w:rsidR="00CC5DF2">
              <w:rPr>
                <w:sz w:val="20"/>
                <w:szCs w:val="20"/>
              </w:rPr>
              <w:t>.</w:t>
            </w:r>
            <w:r w:rsidR="00CF6510">
              <w:rPr>
                <w:sz w:val="20"/>
                <w:szCs w:val="20"/>
              </w:rPr>
              <w:t>9</w:t>
            </w:r>
            <w:r w:rsidR="00DB01B4">
              <w:rPr>
                <w:sz w:val="20"/>
                <w:szCs w:val="20"/>
              </w:rPr>
              <w:t>0</w:t>
            </w:r>
            <w:r w:rsidR="00C94851" w:rsidRPr="008C510E">
              <w:rPr>
                <w:sz w:val="20"/>
                <w:szCs w:val="20"/>
              </w:rPr>
              <w:t>%</w:t>
            </w:r>
          </w:p>
        </w:tc>
        <w:tc>
          <w:tcPr>
            <w:tcW w:w="1835" w:type="dxa"/>
          </w:tcPr>
          <w:p w14:paraId="5017E188" w14:textId="6AB73A83" w:rsidR="00F64874" w:rsidRPr="008C510E" w:rsidRDefault="00B61666" w:rsidP="00782F5F">
            <w:pPr>
              <w:jc w:val="center"/>
              <w:rPr>
                <w:sz w:val="20"/>
                <w:szCs w:val="20"/>
              </w:rPr>
            </w:pPr>
            <w:r>
              <w:rPr>
                <w:sz w:val="20"/>
                <w:szCs w:val="20"/>
              </w:rPr>
              <w:t>3.26%</w:t>
            </w:r>
          </w:p>
        </w:tc>
        <w:tc>
          <w:tcPr>
            <w:tcW w:w="1313" w:type="dxa"/>
          </w:tcPr>
          <w:p w14:paraId="5017E189" w14:textId="42EE4BEE" w:rsidR="00C94851" w:rsidRPr="008C510E" w:rsidRDefault="00B61666" w:rsidP="00BB7573">
            <w:pPr>
              <w:jc w:val="center"/>
              <w:rPr>
                <w:sz w:val="20"/>
                <w:szCs w:val="20"/>
              </w:rPr>
            </w:pPr>
            <w:r w:rsidRPr="00EC03EA">
              <w:rPr>
                <w:rFonts w:ascii="Montserrat" w:hAnsi="Montserrat"/>
                <w:b/>
                <w:noProof/>
                <w:sz w:val="20"/>
                <w:szCs w:val="20"/>
                <w:lang w:eastAsia="en-GB"/>
              </w:rPr>
              <w:drawing>
                <wp:inline distT="0" distB="0" distL="0" distR="0" wp14:anchorId="4AE3B0F1" wp14:editId="1C07F255">
                  <wp:extent cx="321310" cy="29527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102" cy="303355"/>
                          </a:xfrm>
                          <a:prstGeom prst="rect">
                            <a:avLst/>
                          </a:prstGeom>
                          <a:noFill/>
                        </pic:spPr>
                      </pic:pic>
                    </a:graphicData>
                  </a:graphic>
                </wp:inline>
              </w:drawing>
            </w:r>
          </w:p>
        </w:tc>
      </w:tr>
      <w:tr w:rsidR="00242242" w:rsidRPr="00EA16CA" w14:paraId="76334A5B" w14:textId="77777777" w:rsidTr="005833CA">
        <w:trPr>
          <w:trHeight w:val="454"/>
        </w:trPr>
        <w:tc>
          <w:tcPr>
            <w:tcW w:w="9016" w:type="dxa"/>
            <w:gridSpan w:val="4"/>
          </w:tcPr>
          <w:p w14:paraId="287E0681" w14:textId="77777777" w:rsidR="00242242" w:rsidRDefault="00DE2498" w:rsidP="00242242">
            <w:pPr>
              <w:rPr>
                <w:rFonts w:ascii="Montserrat" w:hAnsi="Montserrat"/>
                <w:b/>
                <w:bCs/>
                <w:noProof/>
                <w:sz w:val="20"/>
                <w:szCs w:val="20"/>
                <w:lang w:eastAsia="en-GB"/>
              </w:rPr>
            </w:pPr>
            <w:r w:rsidRPr="00DE2498">
              <w:rPr>
                <w:rFonts w:ascii="Montserrat" w:hAnsi="Montserrat"/>
                <w:b/>
                <w:bCs/>
                <w:noProof/>
                <w:sz w:val="20"/>
                <w:szCs w:val="20"/>
                <w:lang w:eastAsia="en-GB"/>
              </w:rPr>
              <w:t>Rent arrears:</w:t>
            </w:r>
          </w:p>
          <w:p w14:paraId="1559C9F4" w14:textId="77777777" w:rsidR="008D3697" w:rsidRDefault="008D3697" w:rsidP="008D3697">
            <w:pPr>
              <w:rPr>
                <w:rFonts w:ascii="Montserrat" w:hAnsi="Montserrat"/>
                <w:noProof/>
                <w:sz w:val="20"/>
                <w:szCs w:val="20"/>
                <w:lang w:eastAsia="en-GB"/>
              </w:rPr>
            </w:pPr>
            <w:r>
              <w:rPr>
                <w:rFonts w:ascii="Montserrat" w:hAnsi="Montserrat"/>
                <w:noProof/>
                <w:sz w:val="20"/>
                <w:szCs w:val="20"/>
                <w:lang w:eastAsia="en-GB"/>
              </w:rPr>
              <w:t xml:space="preserve">Our rent arrears performance continues to be affected by how we receive cyclical monthly payments of housing benefit, direct debits and universal credit. Once these payments have been received, we are within target. </w:t>
            </w:r>
          </w:p>
          <w:p w14:paraId="1212CC46" w14:textId="7FDD743D" w:rsidR="0081476A" w:rsidRPr="008C510E" w:rsidRDefault="0081476A" w:rsidP="0081476A">
            <w:pPr>
              <w:rPr>
                <w:rFonts w:ascii="Montserrat" w:hAnsi="Montserrat"/>
                <w:noProof/>
                <w:sz w:val="20"/>
                <w:szCs w:val="20"/>
                <w:lang w:eastAsia="en-GB"/>
              </w:rPr>
            </w:pPr>
          </w:p>
        </w:tc>
      </w:tr>
    </w:tbl>
    <w:p w14:paraId="190B26AC" w14:textId="77777777" w:rsidR="00817028" w:rsidRDefault="00817028" w:rsidP="00C94851">
      <w:pPr>
        <w:rPr>
          <w:sz w:val="24"/>
          <w:szCs w:val="24"/>
        </w:rPr>
      </w:pPr>
    </w:p>
    <w:tbl>
      <w:tblPr>
        <w:tblStyle w:val="TableGrid"/>
        <w:tblW w:w="0" w:type="auto"/>
        <w:tblLook w:val="04A0" w:firstRow="1" w:lastRow="0" w:firstColumn="1" w:lastColumn="0" w:noHBand="0" w:noVBand="1"/>
      </w:tblPr>
      <w:tblGrid>
        <w:gridCol w:w="4745"/>
        <w:gridCol w:w="1124"/>
        <w:gridCol w:w="1834"/>
        <w:gridCol w:w="1313"/>
      </w:tblGrid>
      <w:tr w:rsidR="00EC03EA" w:rsidRPr="00EA16CA" w14:paraId="5017E18D" w14:textId="77777777" w:rsidTr="00BE0199">
        <w:tc>
          <w:tcPr>
            <w:tcW w:w="9016" w:type="dxa"/>
            <w:gridSpan w:val="4"/>
            <w:shd w:val="clear" w:color="auto" w:fill="00B0F0"/>
          </w:tcPr>
          <w:p w14:paraId="5017E18C" w14:textId="77777777" w:rsidR="00EC03EA" w:rsidRPr="00EA16CA" w:rsidRDefault="00EC03EA" w:rsidP="00EC03EA">
            <w:pPr>
              <w:jc w:val="center"/>
              <w:rPr>
                <w:b/>
                <w:sz w:val="28"/>
                <w:szCs w:val="28"/>
              </w:rPr>
            </w:pPr>
            <w:r>
              <w:rPr>
                <w:b/>
                <w:color w:val="FFFFFF" w:themeColor="background1"/>
                <w:sz w:val="28"/>
                <w:szCs w:val="28"/>
              </w:rPr>
              <w:t xml:space="preserve">Delivering Customer Service </w:t>
            </w:r>
          </w:p>
        </w:tc>
      </w:tr>
      <w:tr w:rsidR="00EC03EA" w:rsidRPr="00EA16CA" w14:paraId="5017E192" w14:textId="77777777" w:rsidTr="00BE0199">
        <w:tc>
          <w:tcPr>
            <w:tcW w:w="4745" w:type="dxa"/>
            <w:shd w:val="clear" w:color="auto" w:fill="A3DEF4" w:themeFill="accent2" w:themeFillTint="66"/>
          </w:tcPr>
          <w:p w14:paraId="5017E18E" w14:textId="77777777" w:rsidR="00EC03EA" w:rsidRPr="00EA16CA" w:rsidRDefault="00EC03EA" w:rsidP="00BB7573">
            <w:pPr>
              <w:rPr>
                <w:b/>
              </w:rPr>
            </w:pPr>
            <w:r w:rsidRPr="00EA16CA">
              <w:rPr>
                <w:b/>
              </w:rPr>
              <w:t>Indicator</w:t>
            </w:r>
          </w:p>
        </w:tc>
        <w:tc>
          <w:tcPr>
            <w:tcW w:w="1124" w:type="dxa"/>
            <w:shd w:val="clear" w:color="auto" w:fill="A3DEF4" w:themeFill="accent2" w:themeFillTint="66"/>
          </w:tcPr>
          <w:p w14:paraId="5017E18F" w14:textId="77777777" w:rsidR="00EC03EA" w:rsidRPr="00EA16CA" w:rsidRDefault="00EC03EA" w:rsidP="00BB7573">
            <w:pPr>
              <w:jc w:val="center"/>
              <w:rPr>
                <w:b/>
              </w:rPr>
            </w:pPr>
            <w:r w:rsidRPr="00EA16CA">
              <w:rPr>
                <w:b/>
              </w:rPr>
              <w:t>Target</w:t>
            </w:r>
          </w:p>
        </w:tc>
        <w:tc>
          <w:tcPr>
            <w:tcW w:w="1834" w:type="dxa"/>
            <w:shd w:val="clear" w:color="auto" w:fill="A3DEF4" w:themeFill="accent2" w:themeFillTint="66"/>
          </w:tcPr>
          <w:p w14:paraId="5017E190" w14:textId="77777777" w:rsidR="00EC03EA" w:rsidRPr="00EA16CA" w:rsidRDefault="00EC03EA" w:rsidP="00BB7573">
            <w:pPr>
              <w:jc w:val="center"/>
              <w:rPr>
                <w:b/>
              </w:rPr>
            </w:pPr>
            <w:r w:rsidRPr="00EA16CA">
              <w:rPr>
                <w:b/>
              </w:rPr>
              <w:t>Performance</w:t>
            </w:r>
          </w:p>
        </w:tc>
        <w:tc>
          <w:tcPr>
            <w:tcW w:w="1313" w:type="dxa"/>
            <w:shd w:val="clear" w:color="auto" w:fill="A3DEF4" w:themeFill="accent2" w:themeFillTint="66"/>
          </w:tcPr>
          <w:p w14:paraId="5017E191" w14:textId="77777777" w:rsidR="00EC03EA" w:rsidRPr="00EA16CA" w:rsidRDefault="00EC03EA" w:rsidP="00BB7573">
            <w:pPr>
              <w:jc w:val="center"/>
              <w:rPr>
                <w:b/>
              </w:rPr>
            </w:pPr>
            <w:r w:rsidRPr="00EA16CA">
              <w:rPr>
                <w:b/>
              </w:rPr>
              <w:t>How are we doing</w:t>
            </w:r>
          </w:p>
        </w:tc>
      </w:tr>
      <w:tr w:rsidR="00EC03EA" w:rsidRPr="00EA16CA" w14:paraId="5017E197" w14:textId="77777777" w:rsidTr="00BE0199">
        <w:trPr>
          <w:trHeight w:val="555"/>
        </w:trPr>
        <w:tc>
          <w:tcPr>
            <w:tcW w:w="4745" w:type="dxa"/>
          </w:tcPr>
          <w:p w14:paraId="7F2E30CB" w14:textId="77777777" w:rsidR="00AE3DFB" w:rsidRPr="00AE3DFB" w:rsidRDefault="00AE3DFB" w:rsidP="00AE3DFB">
            <w:pPr>
              <w:rPr>
                <w:rFonts w:ascii="Montserrat" w:hAnsi="Montserrat"/>
                <w:bCs/>
                <w:sz w:val="20"/>
                <w:szCs w:val="20"/>
              </w:rPr>
            </w:pPr>
            <w:r w:rsidRPr="00AE3DFB">
              <w:rPr>
                <w:rFonts w:ascii="Montserrat" w:hAnsi="Montserrat"/>
                <w:bCs/>
                <w:sz w:val="20"/>
                <w:szCs w:val="20"/>
              </w:rPr>
              <w:t>% satisfaction with call handling:</w:t>
            </w:r>
          </w:p>
          <w:p w14:paraId="5017E193" w14:textId="32BA2845" w:rsidR="00EC03EA" w:rsidRPr="008C510E" w:rsidRDefault="00EC03EA" w:rsidP="00EC03EA">
            <w:pPr>
              <w:rPr>
                <w:sz w:val="20"/>
                <w:szCs w:val="20"/>
              </w:rPr>
            </w:pPr>
          </w:p>
        </w:tc>
        <w:tc>
          <w:tcPr>
            <w:tcW w:w="1124" w:type="dxa"/>
          </w:tcPr>
          <w:p w14:paraId="5017E194" w14:textId="7C7C63B4" w:rsidR="00EC03EA" w:rsidRPr="008C510E" w:rsidRDefault="00AE3DFB" w:rsidP="00EC03EA">
            <w:pPr>
              <w:jc w:val="center"/>
              <w:rPr>
                <w:sz w:val="20"/>
                <w:szCs w:val="20"/>
              </w:rPr>
            </w:pPr>
            <w:r>
              <w:rPr>
                <w:sz w:val="20"/>
                <w:szCs w:val="20"/>
              </w:rPr>
              <w:t>88</w:t>
            </w:r>
            <w:r w:rsidR="00EC03EA" w:rsidRPr="008C510E">
              <w:rPr>
                <w:sz w:val="20"/>
                <w:szCs w:val="20"/>
              </w:rPr>
              <w:t>%</w:t>
            </w:r>
          </w:p>
        </w:tc>
        <w:tc>
          <w:tcPr>
            <w:tcW w:w="1834" w:type="dxa"/>
          </w:tcPr>
          <w:p w14:paraId="5017E195" w14:textId="7CD39B0B" w:rsidR="00EC03EA" w:rsidRPr="008C510E" w:rsidRDefault="00E531F8" w:rsidP="00DB511E">
            <w:pPr>
              <w:jc w:val="center"/>
              <w:rPr>
                <w:sz w:val="20"/>
                <w:szCs w:val="20"/>
              </w:rPr>
            </w:pPr>
            <w:r>
              <w:rPr>
                <w:sz w:val="20"/>
                <w:szCs w:val="20"/>
              </w:rPr>
              <w:t>96%</w:t>
            </w:r>
          </w:p>
        </w:tc>
        <w:tc>
          <w:tcPr>
            <w:tcW w:w="1313" w:type="dxa"/>
          </w:tcPr>
          <w:p w14:paraId="5017E196" w14:textId="2CABACE7" w:rsidR="00EC03EA" w:rsidRPr="008C510E" w:rsidRDefault="00B6193E" w:rsidP="00BB7573">
            <w:pPr>
              <w:jc w:val="center"/>
              <w:rPr>
                <w:sz w:val="20"/>
                <w:szCs w:val="20"/>
              </w:rPr>
            </w:pPr>
            <w:r w:rsidRPr="008C510E">
              <w:rPr>
                <w:rFonts w:ascii="Montserrat" w:hAnsi="Montserrat"/>
                <w:noProof/>
                <w:sz w:val="20"/>
                <w:szCs w:val="20"/>
                <w:lang w:eastAsia="en-GB"/>
              </w:rPr>
              <w:drawing>
                <wp:inline distT="0" distB="0" distL="0" distR="0" wp14:anchorId="5114E332" wp14:editId="295CE7BB">
                  <wp:extent cx="28575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879" cy="298879"/>
                          </a:xfrm>
                          <a:prstGeom prst="rect">
                            <a:avLst/>
                          </a:prstGeom>
                          <a:noFill/>
                        </pic:spPr>
                      </pic:pic>
                    </a:graphicData>
                  </a:graphic>
                </wp:inline>
              </w:drawing>
            </w:r>
          </w:p>
        </w:tc>
      </w:tr>
    </w:tbl>
    <w:p w14:paraId="5017E19D" w14:textId="77777777" w:rsidR="00C94851" w:rsidRPr="00EA16CA" w:rsidRDefault="00C94851" w:rsidP="00B6193E">
      <w:pPr>
        <w:rPr>
          <w:sz w:val="24"/>
          <w:szCs w:val="24"/>
        </w:rPr>
      </w:pPr>
    </w:p>
    <w:sectPr w:rsidR="00C94851" w:rsidRPr="00EA1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00000007" w:usb1="00000000" w:usb2="00000000" w:usb3="00000000" w:csb0="00000093" w:csb1="00000000"/>
  </w:font>
  <w:font w:name="Montserrat-Semi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ero">
    <w:panose1 w:val="02000506000000020004"/>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260CC"/>
    <w:multiLevelType w:val="hybridMultilevel"/>
    <w:tmpl w:val="75BAE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292C19"/>
    <w:multiLevelType w:val="multilevel"/>
    <w:tmpl w:val="F1D03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51470632">
    <w:abstractNumId w:val="1"/>
  </w:num>
  <w:num w:numId="2" w16cid:durableId="173226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CA"/>
    <w:rsid w:val="000023E2"/>
    <w:rsid w:val="00011635"/>
    <w:rsid w:val="000139A5"/>
    <w:rsid w:val="00020207"/>
    <w:rsid w:val="00025DF8"/>
    <w:rsid w:val="0003456A"/>
    <w:rsid w:val="000370CF"/>
    <w:rsid w:val="00045178"/>
    <w:rsid w:val="00051116"/>
    <w:rsid w:val="0005114F"/>
    <w:rsid w:val="0005632A"/>
    <w:rsid w:val="00063CDB"/>
    <w:rsid w:val="00065076"/>
    <w:rsid w:val="0006799F"/>
    <w:rsid w:val="00073219"/>
    <w:rsid w:val="000740E0"/>
    <w:rsid w:val="00075425"/>
    <w:rsid w:val="00075584"/>
    <w:rsid w:val="000758BE"/>
    <w:rsid w:val="000767BF"/>
    <w:rsid w:val="00082CEB"/>
    <w:rsid w:val="00085880"/>
    <w:rsid w:val="00091EE3"/>
    <w:rsid w:val="00095D56"/>
    <w:rsid w:val="00096C62"/>
    <w:rsid w:val="000A0F28"/>
    <w:rsid w:val="000A1E9F"/>
    <w:rsid w:val="000A3CF9"/>
    <w:rsid w:val="000A4C2D"/>
    <w:rsid w:val="000C31D6"/>
    <w:rsid w:val="000C5FDD"/>
    <w:rsid w:val="000D2C99"/>
    <w:rsid w:val="000D3E20"/>
    <w:rsid w:val="000E4C13"/>
    <w:rsid w:val="000F2036"/>
    <w:rsid w:val="00103D9E"/>
    <w:rsid w:val="001141FD"/>
    <w:rsid w:val="00115C6D"/>
    <w:rsid w:val="00127ED0"/>
    <w:rsid w:val="00127F75"/>
    <w:rsid w:val="00130F33"/>
    <w:rsid w:val="0013117F"/>
    <w:rsid w:val="00131D48"/>
    <w:rsid w:val="00135D86"/>
    <w:rsid w:val="0014705C"/>
    <w:rsid w:val="00157D23"/>
    <w:rsid w:val="00176507"/>
    <w:rsid w:val="00177874"/>
    <w:rsid w:val="00177EFA"/>
    <w:rsid w:val="00187995"/>
    <w:rsid w:val="001A1E69"/>
    <w:rsid w:val="001A2F17"/>
    <w:rsid w:val="001A5D37"/>
    <w:rsid w:val="001A667D"/>
    <w:rsid w:val="001A7520"/>
    <w:rsid w:val="001C01B4"/>
    <w:rsid w:val="001C0E75"/>
    <w:rsid w:val="001D3BBC"/>
    <w:rsid w:val="001D4890"/>
    <w:rsid w:val="001D671E"/>
    <w:rsid w:val="001E10DE"/>
    <w:rsid w:val="001E1677"/>
    <w:rsid w:val="001E575D"/>
    <w:rsid w:val="001F12E2"/>
    <w:rsid w:val="001F3A55"/>
    <w:rsid w:val="001F3E1A"/>
    <w:rsid w:val="001F7163"/>
    <w:rsid w:val="0020063C"/>
    <w:rsid w:val="00202C06"/>
    <w:rsid w:val="002040EA"/>
    <w:rsid w:val="002141C2"/>
    <w:rsid w:val="002142B0"/>
    <w:rsid w:val="00214D8D"/>
    <w:rsid w:val="00224F47"/>
    <w:rsid w:val="00227401"/>
    <w:rsid w:val="002364EE"/>
    <w:rsid w:val="00237033"/>
    <w:rsid w:val="00240ACA"/>
    <w:rsid w:val="00242242"/>
    <w:rsid w:val="0024354B"/>
    <w:rsid w:val="00244E9F"/>
    <w:rsid w:val="002471A9"/>
    <w:rsid w:val="00247299"/>
    <w:rsid w:val="002515A7"/>
    <w:rsid w:val="002716FA"/>
    <w:rsid w:val="00287441"/>
    <w:rsid w:val="00292F56"/>
    <w:rsid w:val="002A0DA6"/>
    <w:rsid w:val="002A32AA"/>
    <w:rsid w:val="002A6C35"/>
    <w:rsid w:val="002B0FD7"/>
    <w:rsid w:val="002C3FF2"/>
    <w:rsid w:val="002C425F"/>
    <w:rsid w:val="002C531D"/>
    <w:rsid w:val="002E042D"/>
    <w:rsid w:val="002F1154"/>
    <w:rsid w:val="002F17BF"/>
    <w:rsid w:val="002F36F1"/>
    <w:rsid w:val="00301281"/>
    <w:rsid w:val="00303464"/>
    <w:rsid w:val="00305500"/>
    <w:rsid w:val="00305A87"/>
    <w:rsid w:val="003070FC"/>
    <w:rsid w:val="00313DAF"/>
    <w:rsid w:val="00317248"/>
    <w:rsid w:val="00317C37"/>
    <w:rsid w:val="00321937"/>
    <w:rsid w:val="00325F34"/>
    <w:rsid w:val="00326139"/>
    <w:rsid w:val="003277D7"/>
    <w:rsid w:val="0033230F"/>
    <w:rsid w:val="00343D9A"/>
    <w:rsid w:val="00347B82"/>
    <w:rsid w:val="00351131"/>
    <w:rsid w:val="0035263B"/>
    <w:rsid w:val="003545FB"/>
    <w:rsid w:val="00360B8B"/>
    <w:rsid w:val="00372E0D"/>
    <w:rsid w:val="003739BF"/>
    <w:rsid w:val="0037604A"/>
    <w:rsid w:val="00385B9F"/>
    <w:rsid w:val="00385E5C"/>
    <w:rsid w:val="003A50EB"/>
    <w:rsid w:val="003A6C51"/>
    <w:rsid w:val="003B1C50"/>
    <w:rsid w:val="003B3C62"/>
    <w:rsid w:val="003C3F17"/>
    <w:rsid w:val="003D1707"/>
    <w:rsid w:val="003D1809"/>
    <w:rsid w:val="003D7B22"/>
    <w:rsid w:val="003E08F4"/>
    <w:rsid w:val="003E1183"/>
    <w:rsid w:val="003E1C01"/>
    <w:rsid w:val="003E401B"/>
    <w:rsid w:val="003F25CA"/>
    <w:rsid w:val="003F26F7"/>
    <w:rsid w:val="003F5D19"/>
    <w:rsid w:val="003F713F"/>
    <w:rsid w:val="00405CD0"/>
    <w:rsid w:val="00406F12"/>
    <w:rsid w:val="0041105B"/>
    <w:rsid w:val="00414089"/>
    <w:rsid w:val="00417DBC"/>
    <w:rsid w:val="00421F40"/>
    <w:rsid w:val="004263AE"/>
    <w:rsid w:val="0043441E"/>
    <w:rsid w:val="004347C1"/>
    <w:rsid w:val="00435990"/>
    <w:rsid w:val="00441D82"/>
    <w:rsid w:val="00453966"/>
    <w:rsid w:val="00454B78"/>
    <w:rsid w:val="00454E09"/>
    <w:rsid w:val="00456E91"/>
    <w:rsid w:val="00461398"/>
    <w:rsid w:val="00462767"/>
    <w:rsid w:val="00464507"/>
    <w:rsid w:val="00466E64"/>
    <w:rsid w:val="004776E9"/>
    <w:rsid w:val="0049332A"/>
    <w:rsid w:val="00494B92"/>
    <w:rsid w:val="0049578E"/>
    <w:rsid w:val="00496879"/>
    <w:rsid w:val="004A0C46"/>
    <w:rsid w:val="004A1EDE"/>
    <w:rsid w:val="004A5156"/>
    <w:rsid w:val="004B19ED"/>
    <w:rsid w:val="004C3225"/>
    <w:rsid w:val="004C7F83"/>
    <w:rsid w:val="004D4CF6"/>
    <w:rsid w:val="004D69AB"/>
    <w:rsid w:val="004D711E"/>
    <w:rsid w:val="004D7A02"/>
    <w:rsid w:val="004E0740"/>
    <w:rsid w:val="004E0AB7"/>
    <w:rsid w:val="004F5642"/>
    <w:rsid w:val="0050177A"/>
    <w:rsid w:val="00504F5A"/>
    <w:rsid w:val="00510E9B"/>
    <w:rsid w:val="00514CA9"/>
    <w:rsid w:val="005218A3"/>
    <w:rsid w:val="005257D0"/>
    <w:rsid w:val="00527716"/>
    <w:rsid w:val="005303C2"/>
    <w:rsid w:val="00531C75"/>
    <w:rsid w:val="00532036"/>
    <w:rsid w:val="00536CCD"/>
    <w:rsid w:val="00541181"/>
    <w:rsid w:val="0055347F"/>
    <w:rsid w:val="005540CB"/>
    <w:rsid w:val="00554742"/>
    <w:rsid w:val="005568EE"/>
    <w:rsid w:val="005636DF"/>
    <w:rsid w:val="00565AAD"/>
    <w:rsid w:val="00566455"/>
    <w:rsid w:val="00567807"/>
    <w:rsid w:val="00567DBD"/>
    <w:rsid w:val="00570089"/>
    <w:rsid w:val="00573E33"/>
    <w:rsid w:val="005777B9"/>
    <w:rsid w:val="00577D98"/>
    <w:rsid w:val="00583A6B"/>
    <w:rsid w:val="0058497F"/>
    <w:rsid w:val="005963B4"/>
    <w:rsid w:val="00596A0C"/>
    <w:rsid w:val="00597F2C"/>
    <w:rsid w:val="005A27EA"/>
    <w:rsid w:val="005B3CC8"/>
    <w:rsid w:val="005C08BF"/>
    <w:rsid w:val="005C1511"/>
    <w:rsid w:val="005C3CE5"/>
    <w:rsid w:val="005C67B1"/>
    <w:rsid w:val="005D6B5D"/>
    <w:rsid w:val="005D7566"/>
    <w:rsid w:val="005E38B9"/>
    <w:rsid w:val="005F08F4"/>
    <w:rsid w:val="005F3EDA"/>
    <w:rsid w:val="006037C9"/>
    <w:rsid w:val="00603FDC"/>
    <w:rsid w:val="006041D2"/>
    <w:rsid w:val="006059F5"/>
    <w:rsid w:val="00607853"/>
    <w:rsid w:val="00610525"/>
    <w:rsid w:val="0061279B"/>
    <w:rsid w:val="00616D24"/>
    <w:rsid w:val="006207DC"/>
    <w:rsid w:val="00620B15"/>
    <w:rsid w:val="006227FC"/>
    <w:rsid w:val="006446FA"/>
    <w:rsid w:val="00644C5D"/>
    <w:rsid w:val="00650CA8"/>
    <w:rsid w:val="00651B6F"/>
    <w:rsid w:val="00656324"/>
    <w:rsid w:val="00671538"/>
    <w:rsid w:val="00671C79"/>
    <w:rsid w:val="00682359"/>
    <w:rsid w:val="00684E33"/>
    <w:rsid w:val="00684FFC"/>
    <w:rsid w:val="00685A95"/>
    <w:rsid w:val="006A20ED"/>
    <w:rsid w:val="006A7CC6"/>
    <w:rsid w:val="006B3893"/>
    <w:rsid w:val="006B46C5"/>
    <w:rsid w:val="006C063C"/>
    <w:rsid w:val="006C181B"/>
    <w:rsid w:val="006C2F67"/>
    <w:rsid w:val="006C5538"/>
    <w:rsid w:val="006D2EC9"/>
    <w:rsid w:val="006E03AE"/>
    <w:rsid w:val="006E5DF1"/>
    <w:rsid w:val="006F3455"/>
    <w:rsid w:val="006F383E"/>
    <w:rsid w:val="006F5189"/>
    <w:rsid w:val="00700883"/>
    <w:rsid w:val="00705C30"/>
    <w:rsid w:val="007076EB"/>
    <w:rsid w:val="00707A21"/>
    <w:rsid w:val="00710787"/>
    <w:rsid w:val="0071134B"/>
    <w:rsid w:val="00711EA2"/>
    <w:rsid w:val="00713FD4"/>
    <w:rsid w:val="00714C1C"/>
    <w:rsid w:val="0072099B"/>
    <w:rsid w:val="007220F4"/>
    <w:rsid w:val="00725DB4"/>
    <w:rsid w:val="007266EE"/>
    <w:rsid w:val="007317B3"/>
    <w:rsid w:val="00731AD5"/>
    <w:rsid w:val="00733BE4"/>
    <w:rsid w:val="007379D0"/>
    <w:rsid w:val="00740B5C"/>
    <w:rsid w:val="0075126B"/>
    <w:rsid w:val="00751835"/>
    <w:rsid w:val="00752DEF"/>
    <w:rsid w:val="00764CF1"/>
    <w:rsid w:val="00765FEC"/>
    <w:rsid w:val="00772843"/>
    <w:rsid w:val="0077534E"/>
    <w:rsid w:val="00782E40"/>
    <w:rsid w:val="00782F5F"/>
    <w:rsid w:val="00790810"/>
    <w:rsid w:val="0079099F"/>
    <w:rsid w:val="007A23E0"/>
    <w:rsid w:val="007A5255"/>
    <w:rsid w:val="007B3B75"/>
    <w:rsid w:val="007C097B"/>
    <w:rsid w:val="007C35A2"/>
    <w:rsid w:val="007C5FDF"/>
    <w:rsid w:val="007C7C67"/>
    <w:rsid w:val="007D2A90"/>
    <w:rsid w:val="007D6332"/>
    <w:rsid w:val="007D6716"/>
    <w:rsid w:val="007D7149"/>
    <w:rsid w:val="007D7A4F"/>
    <w:rsid w:val="007E307C"/>
    <w:rsid w:val="008041F0"/>
    <w:rsid w:val="00810371"/>
    <w:rsid w:val="0081190A"/>
    <w:rsid w:val="00813C6B"/>
    <w:rsid w:val="0081476A"/>
    <w:rsid w:val="00817028"/>
    <w:rsid w:val="00821769"/>
    <w:rsid w:val="00824BD3"/>
    <w:rsid w:val="0083272A"/>
    <w:rsid w:val="00833254"/>
    <w:rsid w:val="00835CB8"/>
    <w:rsid w:val="00836269"/>
    <w:rsid w:val="00843AAA"/>
    <w:rsid w:val="008440B7"/>
    <w:rsid w:val="0084551C"/>
    <w:rsid w:val="00846C7D"/>
    <w:rsid w:val="00850450"/>
    <w:rsid w:val="0085729E"/>
    <w:rsid w:val="008608A7"/>
    <w:rsid w:val="008620E0"/>
    <w:rsid w:val="0086594E"/>
    <w:rsid w:val="00867AF0"/>
    <w:rsid w:val="00867BC7"/>
    <w:rsid w:val="00874115"/>
    <w:rsid w:val="008802EF"/>
    <w:rsid w:val="00881852"/>
    <w:rsid w:val="00883A21"/>
    <w:rsid w:val="00891006"/>
    <w:rsid w:val="00894C2D"/>
    <w:rsid w:val="00896947"/>
    <w:rsid w:val="00896D4D"/>
    <w:rsid w:val="00897F05"/>
    <w:rsid w:val="008A2E15"/>
    <w:rsid w:val="008A6329"/>
    <w:rsid w:val="008B4177"/>
    <w:rsid w:val="008B429E"/>
    <w:rsid w:val="008B46ED"/>
    <w:rsid w:val="008B5547"/>
    <w:rsid w:val="008C510E"/>
    <w:rsid w:val="008C7BA7"/>
    <w:rsid w:val="008D324A"/>
    <w:rsid w:val="008D3697"/>
    <w:rsid w:val="008D44CD"/>
    <w:rsid w:val="008E1A71"/>
    <w:rsid w:val="008E4389"/>
    <w:rsid w:val="008E4653"/>
    <w:rsid w:val="008F2768"/>
    <w:rsid w:val="008F41AB"/>
    <w:rsid w:val="008F5AAA"/>
    <w:rsid w:val="00904DFD"/>
    <w:rsid w:val="00912EFB"/>
    <w:rsid w:val="009178FC"/>
    <w:rsid w:val="009179CA"/>
    <w:rsid w:val="00921481"/>
    <w:rsid w:val="0093024A"/>
    <w:rsid w:val="009355E3"/>
    <w:rsid w:val="00947462"/>
    <w:rsid w:val="00951C45"/>
    <w:rsid w:val="0095450B"/>
    <w:rsid w:val="0095681B"/>
    <w:rsid w:val="009600C0"/>
    <w:rsid w:val="009620DD"/>
    <w:rsid w:val="00962FF8"/>
    <w:rsid w:val="00964581"/>
    <w:rsid w:val="00964C98"/>
    <w:rsid w:val="009710A2"/>
    <w:rsid w:val="00977CA2"/>
    <w:rsid w:val="009802F9"/>
    <w:rsid w:val="009836A9"/>
    <w:rsid w:val="0098718E"/>
    <w:rsid w:val="009977CA"/>
    <w:rsid w:val="009A4F58"/>
    <w:rsid w:val="009A66E6"/>
    <w:rsid w:val="009A6F5D"/>
    <w:rsid w:val="009A769B"/>
    <w:rsid w:val="009B141C"/>
    <w:rsid w:val="009B1C16"/>
    <w:rsid w:val="009B244F"/>
    <w:rsid w:val="009B6CB0"/>
    <w:rsid w:val="009D70AB"/>
    <w:rsid w:val="009D7583"/>
    <w:rsid w:val="009E06BA"/>
    <w:rsid w:val="009E2E6B"/>
    <w:rsid w:val="009E38C1"/>
    <w:rsid w:val="009E4B8F"/>
    <w:rsid w:val="009E6981"/>
    <w:rsid w:val="009F338B"/>
    <w:rsid w:val="009F566E"/>
    <w:rsid w:val="00A12B6A"/>
    <w:rsid w:val="00A13E83"/>
    <w:rsid w:val="00A17791"/>
    <w:rsid w:val="00A24D1A"/>
    <w:rsid w:val="00A329AE"/>
    <w:rsid w:val="00A3526D"/>
    <w:rsid w:val="00A44BA3"/>
    <w:rsid w:val="00A4562F"/>
    <w:rsid w:val="00A45F40"/>
    <w:rsid w:val="00A62763"/>
    <w:rsid w:val="00A6334C"/>
    <w:rsid w:val="00A64F4B"/>
    <w:rsid w:val="00A76D69"/>
    <w:rsid w:val="00A870AF"/>
    <w:rsid w:val="00A91F2A"/>
    <w:rsid w:val="00A95B59"/>
    <w:rsid w:val="00A97C99"/>
    <w:rsid w:val="00AA4FB1"/>
    <w:rsid w:val="00AC39A5"/>
    <w:rsid w:val="00AC3A10"/>
    <w:rsid w:val="00AC44F9"/>
    <w:rsid w:val="00AD1FFA"/>
    <w:rsid w:val="00AD5461"/>
    <w:rsid w:val="00AD5B17"/>
    <w:rsid w:val="00AD6341"/>
    <w:rsid w:val="00AD7FAE"/>
    <w:rsid w:val="00AE3DFB"/>
    <w:rsid w:val="00AE580B"/>
    <w:rsid w:val="00AF1F2D"/>
    <w:rsid w:val="00B048DD"/>
    <w:rsid w:val="00B106F1"/>
    <w:rsid w:val="00B13040"/>
    <w:rsid w:val="00B1401B"/>
    <w:rsid w:val="00B16847"/>
    <w:rsid w:val="00B20B7B"/>
    <w:rsid w:val="00B20C4C"/>
    <w:rsid w:val="00B221B7"/>
    <w:rsid w:val="00B318EF"/>
    <w:rsid w:val="00B34F30"/>
    <w:rsid w:val="00B3613D"/>
    <w:rsid w:val="00B5077B"/>
    <w:rsid w:val="00B50F0F"/>
    <w:rsid w:val="00B51059"/>
    <w:rsid w:val="00B53507"/>
    <w:rsid w:val="00B5397D"/>
    <w:rsid w:val="00B56D98"/>
    <w:rsid w:val="00B61296"/>
    <w:rsid w:val="00B61666"/>
    <w:rsid w:val="00B6193E"/>
    <w:rsid w:val="00B66562"/>
    <w:rsid w:val="00B66D87"/>
    <w:rsid w:val="00B70ECD"/>
    <w:rsid w:val="00B7613C"/>
    <w:rsid w:val="00B810E0"/>
    <w:rsid w:val="00B81E4B"/>
    <w:rsid w:val="00B83349"/>
    <w:rsid w:val="00B9226F"/>
    <w:rsid w:val="00BA38F8"/>
    <w:rsid w:val="00BA7DC7"/>
    <w:rsid w:val="00BA7E19"/>
    <w:rsid w:val="00BB5ED4"/>
    <w:rsid w:val="00BB6B96"/>
    <w:rsid w:val="00BB7573"/>
    <w:rsid w:val="00BC0040"/>
    <w:rsid w:val="00BC5123"/>
    <w:rsid w:val="00BD325D"/>
    <w:rsid w:val="00BD618B"/>
    <w:rsid w:val="00BE0199"/>
    <w:rsid w:val="00C02C62"/>
    <w:rsid w:val="00C12961"/>
    <w:rsid w:val="00C14757"/>
    <w:rsid w:val="00C202ED"/>
    <w:rsid w:val="00C272F1"/>
    <w:rsid w:val="00C27626"/>
    <w:rsid w:val="00C30203"/>
    <w:rsid w:val="00C363EE"/>
    <w:rsid w:val="00C36DEA"/>
    <w:rsid w:val="00C406CE"/>
    <w:rsid w:val="00C4541A"/>
    <w:rsid w:val="00C456A0"/>
    <w:rsid w:val="00C47587"/>
    <w:rsid w:val="00C507AE"/>
    <w:rsid w:val="00C52F19"/>
    <w:rsid w:val="00C548ED"/>
    <w:rsid w:val="00C55A4C"/>
    <w:rsid w:val="00C60CE7"/>
    <w:rsid w:val="00C67878"/>
    <w:rsid w:val="00C703A7"/>
    <w:rsid w:val="00C72BED"/>
    <w:rsid w:val="00C76EE0"/>
    <w:rsid w:val="00C86461"/>
    <w:rsid w:val="00C86EA6"/>
    <w:rsid w:val="00C878D8"/>
    <w:rsid w:val="00C91AD9"/>
    <w:rsid w:val="00C92353"/>
    <w:rsid w:val="00C94851"/>
    <w:rsid w:val="00C95C2D"/>
    <w:rsid w:val="00CB2009"/>
    <w:rsid w:val="00CB3CB5"/>
    <w:rsid w:val="00CC4835"/>
    <w:rsid w:val="00CC554C"/>
    <w:rsid w:val="00CC5DF2"/>
    <w:rsid w:val="00CD4C5C"/>
    <w:rsid w:val="00CE4A26"/>
    <w:rsid w:val="00CE4AF9"/>
    <w:rsid w:val="00CF5ECC"/>
    <w:rsid w:val="00CF6510"/>
    <w:rsid w:val="00CF6B0F"/>
    <w:rsid w:val="00CF6EC2"/>
    <w:rsid w:val="00D01FFA"/>
    <w:rsid w:val="00D11E05"/>
    <w:rsid w:val="00D16118"/>
    <w:rsid w:val="00D163AC"/>
    <w:rsid w:val="00D22F1D"/>
    <w:rsid w:val="00D279BD"/>
    <w:rsid w:val="00D32B4F"/>
    <w:rsid w:val="00D45E84"/>
    <w:rsid w:val="00D610DC"/>
    <w:rsid w:val="00D61D3E"/>
    <w:rsid w:val="00D6402B"/>
    <w:rsid w:val="00D65358"/>
    <w:rsid w:val="00D71353"/>
    <w:rsid w:val="00D75A14"/>
    <w:rsid w:val="00D876A8"/>
    <w:rsid w:val="00D941EF"/>
    <w:rsid w:val="00D949B3"/>
    <w:rsid w:val="00DA5E5F"/>
    <w:rsid w:val="00DA7D06"/>
    <w:rsid w:val="00DB01B4"/>
    <w:rsid w:val="00DB0D2B"/>
    <w:rsid w:val="00DB3BFE"/>
    <w:rsid w:val="00DB511E"/>
    <w:rsid w:val="00DC0221"/>
    <w:rsid w:val="00DC500B"/>
    <w:rsid w:val="00DC621C"/>
    <w:rsid w:val="00DC780D"/>
    <w:rsid w:val="00DD3EDC"/>
    <w:rsid w:val="00DD5B52"/>
    <w:rsid w:val="00DE1112"/>
    <w:rsid w:val="00DE13FC"/>
    <w:rsid w:val="00DE2498"/>
    <w:rsid w:val="00DE24FB"/>
    <w:rsid w:val="00DE66EC"/>
    <w:rsid w:val="00DE6CCB"/>
    <w:rsid w:val="00DF0E76"/>
    <w:rsid w:val="00E00ECC"/>
    <w:rsid w:val="00E01C50"/>
    <w:rsid w:val="00E04EC5"/>
    <w:rsid w:val="00E06576"/>
    <w:rsid w:val="00E123DA"/>
    <w:rsid w:val="00E16AA1"/>
    <w:rsid w:val="00E1729E"/>
    <w:rsid w:val="00E21E3B"/>
    <w:rsid w:val="00E30838"/>
    <w:rsid w:val="00E31098"/>
    <w:rsid w:val="00E31B42"/>
    <w:rsid w:val="00E33E4A"/>
    <w:rsid w:val="00E34325"/>
    <w:rsid w:val="00E350AF"/>
    <w:rsid w:val="00E50A13"/>
    <w:rsid w:val="00E51FA6"/>
    <w:rsid w:val="00E531F8"/>
    <w:rsid w:val="00E54CF6"/>
    <w:rsid w:val="00E5675F"/>
    <w:rsid w:val="00E630B5"/>
    <w:rsid w:val="00E6583A"/>
    <w:rsid w:val="00E65E44"/>
    <w:rsid w:val="00E66919"/>
    <w:rsid w:val="00E6744E"/>
    <w:rsid w:val="00E70E6F"/>
    <w:rsid w:val="00E7165C"/>
    <w:rsid w:val="00E71C72"/>
    <w:rsid w:val="00E745AD"/>
    <w:rsid w:val="00E83BFC"/>
    <w:rsid w:val="00E9471A"/>
    <w:rsid w:val="00EA16CA"/>
    <w:rsid w:val="00EA5EB6"/>
    <w:rsid w:val="00EA6AC8"/>
    <w:rsid w:val="00EB252A"/>
    <w:rsid w:val="00EC03EA"/>
    <w:rsid w:val="00EC3498"/>
    <w:rsid w:val="00EC4DFE"/>
    <w:rsid w:val="00EC7264"/>
    <w:rsid w:val="00ED38B2"/>
    <w:rsid w:val="00EE3F76"/>
    <w:rsid w:val="00EE58CF"/>
    <w:rsid w:val="00EE7B6B"/>
    <w:rsid w:val="00EF0AF0"/>
    <w:rsid w:val="00EF48C3"/>
    <w:rsid w:val="00EF4D02"/>
    <w:rsid w:val="00EF5913"/>
    <w:rsid w:val="00EF67B2"/>
    <w:rsid w:val="00F105C8"/>
    <w:rsid w:val="00F13A90"/>
    <w:rsid w:val="00F26054"/>
    <w:rsid w:val="00F278D7"/>
    <w:rsid w:val="00F27D9D"/>
    <w:rsid w:val="00F37D5D"/>
    <w:rsid w:val="00F42136"/>
    <w:rsid w:val="00F4576A"/>
    <w:rsid w:val="00F6005D"/>
    <w:rsid w:val="00F62A28"/>
    <w:rsid w:val="00F64874"/>
    <w:rsid w:val="00F717D7"/>
    <w:rsid w:val="00F717FA"/>
    <w:rsid w:val="00F74A08"/>
    <w:rsid w:val="00F74CC2"/>
    <w:rsid w:val="00F800D3"/>
    <w:rsid w:val="00F83DD2"/>
    <w:rsid w:val="00F85CAC"/>
    <w:rsid w:val="00F876E4"/>
    <w:rsid w:val="00FA7410"/>
    <w:rsid w:val="00FB14F2"/>
    <w:rsid w:val="00FC131F"/>
    <w:rsid w:val="00FC4C3A"/>
    <w:rsid w:val="00FD11DA"/>
    <w:rsid w:val="00FD305B"/>
    <w:rsid w:val="00FE3B01"/>
    <w:rsid w:val="00FE65F8"/>
    <w:rsid w:val="00FF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E145"/>
  <w15:docId w15:val="{5EF08ECC-3C4C-4268-9E89-AD382E59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C03EA"/>
    <w:pPr>
      <w:widowControl w:val="0"/>
      <w:spacing w:before="16" w:after="0" w:line="240" w:lineRule="auto"/>
      <w:ind w:left="120"/>
      <w:outlineLvl w:val="0"/>
    </w:pPr>
    <w:rPr>
      <w:rFonts w:ascii="Montserrat-SemiBold" w:eastAsia="Montserrat-SemiBold" w:hAnsi="Montserrat-SemiBold"/>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C03EA"/>
    <w:rPr>
      <w:rFonts w:ascii="Montserrat-SemiBold" w:eastAsia="Montserrat-SemiBold" w:hAnsi="Montserrat-SemiBold"/>
      <w:b/>
      <w:bCs/>
      <w:sz w:val="28"/>
      <w:szCs w:val="28"/>
      <w:lang w:val="en-US"/>
    </w:rPr>
  </w:style>
  <w:style w:type="paragraph" w:styleId="BalloonText">
    <w:name w:val="Balloon Text"/>
    <w:basedOn w:val="Normal"/>
    <w:link w:val="BalloonTextChar"/>
    <w:uiPriority w:val="99"/>
    <w:semiHidden/>
    <w:unhideWhenUsed/>
    <w:rsid w:val="00BB7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573"/>
    <w:rPr>
      <w:rFonts w:ascii="Tahoma" w:hAnsi="Tahoma" w:cs="Tahoma"/>
      <w:sz w:val="16"/>
      <w:szCs w:val="16"/>
    </w:rPr>
  </w:style>
  <w:style w:type="character" w:styleId="CommentReference">
    <w:name w:val="annotation reference"/>
    <w:basedOn w:val="DefaultParagraphFont"/>
    <w:uiPriority w:val="99"/>
    <w:semiHidden/>
    <w:unhideWhenUsed/>
    <w:rsid w:val="00187995"/>
    <w:rPr>
      <w:sz w:val="16"/>
      <w:szCs w:val="16"/>
    </w:rPr>
  </w:style>
  <w:style w:type="paragraph" w:styleId="CommentText">
    <w:name w:val="annotation text"/>
    <w:basedOn w:val="Normal"/>
    <w:link w:val="CommentTextChar"/>
    <w:uiPriority w:val="99"/>
    <w:unhideWhenUsed/>
    <w:rsid w:val="00187995"/>
    <w:pPr>
      <w:spacing w:line="240" w:lineRule="auto"/>
    </w:pPr>
    <w:rPr>
      <w:sz w:val="20"/>
      <w:szCs w:val="20"/>
    </w:rPr>
  </w:style>
  <w:style w:type="character" w:customStyle="1" w:styleId="CommentTextChar">
    <w:name w:val="Comment Text Char"/>
    <w:basedOn w:val="DefaultParagraphFont"/>
    <w:link w:val="CommentText"/>
    <w:uiPriority w:val="99"/>
    <w:rsid w:val="00187995"/>
    <w:rPr>
      <w:sz w:val="20"/>
      <w:szCs w:val="20"/>
    </w:rPr>
  </w:style>
  <w:style w:type="paragraph" w:styleId="CommentSubject">
    <w:name w:val="annotation subject"/>
    <w:basedOn w:val="CommentText"/>
    <w:next w:val="CommentText"/>
    <w:link w:val="CommentSubjectChar"/>
    <w:uiPriority w:val="99"/>
    <w:semiHidden/>
    <w:unhideWhenUsed/>
    <w:rsid w:val="00187995"/>
    <w:rPr>
      <w:b/>
      <w:bCs/>
    </w:rPr>
  </w:style>
  <w:style w:type="character" w:customStyle="1" w:styleId="CommentSubjectChar">
    <w:name w:val="Comment Subject Char"/>
    <w:basedOn w:val="CommentTextChar"/>
    <w:link w:val="CommentSubject"/>
    <w:uiPriority w:val="99"/>
    <w:semiHidden/>
    <w:rsid w:val="00187995"/>
    <w:rPr>
      <w:b/>
      <w:bCs/>
      <w:sz w:val="20"/>
      <w:szCs w:val="20"/>
    </w:rPr>
  </w:style>
  <w:style w:type="character" w:styleId="Hyperlink">
    <w:name w:val="Hyperlink"/>
    <w:basedOn w:val="DefaultParagraphFont"/>
    <w:uiPriority w:val="99"/>
    <w:unhideWhenUsed/>
    <w:rsid w:val="00F27D9D"/>
    <w:rPr>
      <w:color w:val="0000FF" w:themeColor="hyperlink"/>
      <w:u w:val="single"/>
    </w:rPr>
  </w:style>
  <w:style w:type="paragraph" w:styleId="NoSpacing">
    <w:name w:val="No Spacing"/>
    <w:uiPriority w:val="1"/>
    <w:qFormat/>
    <w:rsid w:val="00764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29726">
      <w:bodyDiv w:val="1"/>
      <w:marLeft w:val="0"/>
      <w:marRight w:val="0"/>
      <w:marTop w:val="0"/>
      <w:marBottom w:val="0"/>
      <w:divBdr>
        <w:top w:val="none" w:sz="0" w:space="0" w:color="auto"/>
        <w:left w:val="none" w:sz="0" w:space="0" w:color="auto"/>
        <w:bottom w:val="none" w:sz="0" w:space="0" w:color="auto"/>
        <w:right w:val="none" w:sz="0" w:space="0" w:color="auto"/>
      </w:divBdr>
    </w:div>
    <w:div w:id="1910382975">
      <w:bodyDiv w:val="1"/>
      <w:marLeft w:val="0"/>
      <w:marRight w:val="0"/>
      <w:marTop w:val="0"/>
      <w:marBottom w:val="0"/>
      <w:divBdr>
        <w:top w:val="none" w:sz="0" w:space="0" w:color="auto"/>
        <w:left w:val="none" w:sz="0" w:space="0" w:color="auto"/>
        <w:bottom w:val="none" w:sz="0" w:space="0" w:color="auto"/>
        <w:right w:val="none" w:sz="0" w:space="0" w:color="auto"/>
      </w:divBdr>
    </w:div>
    <w:div w:id="19233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North Star">
  <a:themeElements>
    <a:clrScheme name="North Star">
      <a:dk1>
        <a:sysClr val="windowText" lastClr="000000"/>
      </a:dk1>
      <a:lt1>
        <a:sysClr val="window" lastClr="FFFFFF"/>
      </a:lt1>
      <a:dk2>
        <a:srgbClr val="1F497D"/>
      </a:dk2>
      <a:lt2>
        <a:srgbClr val="EEECE1"/>
      </a:lt2>
      <a:accent1>
        <a:srgbClr val="004A8B"/>
      </a:accent1>
      <a:accent2>
        <a:srgbClr val="1BAEE5"/>
      </a:accent2>
      <a:accent3>
        <a:srgbClr val="AFCA0B"/>
      </a:accent3>
      <a:accent4>
        <a:srgbClr val="00A092"/>
      </a:accent4>
      <a:accent5>
        <a:srgbClr val="4BACC6"/>
      </a:accent5>
      <a:accent6>
        <a:srgbClr val="F79646"/>
      </a:accent6>
      <a:hlink>
        <a:srgbClr val="0000FF"/>
      </a:hlink>
      <a:folHlink>
        <a:srgbClr val="800080"/>
      </a:folHlink>
    </a:clrScheme>
    <a:fontScheme name="North Star">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E7AE6AAD52C4EB1A1838D9972B64A" ma:contentTypeVersion="4" ma:contentTypeDescription="Create a new document." ma:contentTypeScope="" ma:versionID="1cbbce11ee609644a6927c9eb35379b6">
  <xsd:schema xmlns:xsd="http://www.w3.org/2001/XMLSchema" xmlns:xs="http://www.w3.org/2001/XMLSchema" xmlns:p="http://schemas.microsoft.com/office/2006/metadata/properties" xmlns:ns3="ad7a1acc-2308-45fc-8bfe-743ebfc37e73" targetNamespace="http://schemas.microsoft.com/office/2006/metadata/properties" ma:root="true" ma:fieldsID="c78b4d81ec8158dc7ff502fc3dde9fd0" ns3:_="">
    <xsd:import namespace="ad7a1acc-2308-45fc-8bfe-743ebfc37e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a1acc-2308-45fc-8bfe-743ebfc3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6B87F-DB47-48AA-BCB4-30B719091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a1acc-2308-45fc-8bfe-743ebfc37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026FC-0A9E-4CC3-B255-87241EEE98D8}">
  <ds:schemaRefs>
    <ds:schemaRef ds:uri="http://schemas.microsoft.com/sharepoint/v3/contenttype/forms"/>
  </ds:schemaRefs>
</ds:datastoreItem>
</file>

<file path=customXml/itemProps3.xml><?xml version="1.0" encoding="utf-8"?>
<ds:datastoreItem xmlns:ds="http://schemas.openxmlformats.org/officeDocument/2006/customXml" ds:itemID="{B7F7063D-E9DD-4E1F-B369-89BA949E75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838B5A-5925-4727-A6A2-1BAFBCBB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 Richardson</dc:creator>
  <cp:lastModifiedBy>Katherine Allen</cp:lastModifiedBy>
  <cp:revision>12</cp:revision>
  <cp:lastPrinted>2024-03-07T15:40:00Z</cp:lastPrinted>
  <dcterms:created xsi:type="dcterms:W3CDTF">2024-07-31T13:42:00Z</dcterms:created>
  <dcterms:modified xsi:type="dcterms:W3CDTF">2024-09-05T07:28:00Z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0x010100647E7AE6AAD52C4EB1A1838D9972B64A</vt:lpwstr>
  </property>
</Properties>
</file>